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outlineLvl w:val="9"/>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四川蜀物兴川物流发展有限公司</w:t>
      </w:r>
    </w:p>
    <w:p>
      <w:pPr>
        <w:spacing w:line="600" w:lineRule="exact"/>
        <w:ind w:left="0" w:leftChars="0" w:right="160" w:rightChars="50" w:firstLine="0" w:firstLineChars="0"/>
        <w:jc w:val="center"/>
        <w:outlineLvl w:val="9"/>
        <w:rPr>
          <w:rFonts w:hint="default" w:ascii="方正小标宋简体" w:hAnsi="黑体" w:eastAsia="方正小标宋简体"/>
          <w:sz w:val="44"/>
          <w:szCs w:val="44"/>
          <w:highlight w:val="none"/>
          <w:lang w:val="en-US"/>
        </w:rPr>
      </w:pPr>
      <w:r>
        <w:rPr>
          <w:rFonts w:hint="eastAsia" w:ascii="方正小标宋简体" w:hAnsi="黑体" w:eastAsia="方正小标宋简体" w:cs="Times New Roman"/>
          <w:sz w:val="44"/>
          <w:szCs w:val="44"/>
          <w:highlight w:val="none"/>
          <w:lang w:val="en-US" w:eastAsia="zh-CN"/>
        </w:rPr>
        <w:t>达州绕城高速西段钢材</w:t>
      </w:r>
      <w:r>
        <w:rPr>
          <w:rFonts w:hint="eastAsia" w:ascii="方正小标宋简体" w:hAnsi="黑体" w:eastAsia="方正小标宋简体"/>
          <w:sz w:val="44"/>
          <w:szCs w:val="44"/>
          <w:highlight w:val="none"/>
          <w:lang w:val="en-US" w:eastAsia="zh-CN"/>
        </w:rPr>
        <w:t>公开询价采购项目</w:t>
      </w:r>
    </w:p>
    <w:p>
      <w:pPr>
        <w:spacing w:line="600" w:lineRule="exact"/>
        <w:ind w:left="0" w:leftChars="0" w:right="160" w:rightChars="50" w:firstLine="0" w:firstLineChars="0"/>
        <w:jc w:val="center"/>
        <w:outlineLvl w:val="9"/>
        <w:rPr>
          <w:rFonts w:hint="default" w:ascii="方正小标宋简体" w:hAnsi="黑体" w:eastAsia="方正小标宋简体"/>
          <w:sz w:val="44"/>
          <w:szCs w:val="44"/>
          <w:highlight w:val="none"/>
          <w:lang w:val="en-US"/>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宋体" w:eastAsia="仿宋_GB2312"/>
          <w:b/>
          <w:sz w:val="28"/>
          <w:szCs w:val="28"/>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仿宋_GB2312" w:hAnsi="微软雅黑" w:eastAsia="仿宋_GB2312"/>
          <w:bCs/>
          <w:spacing w:val="-4"/>
          <w:sz w:val="24"/>
          <w:highlight w:val="none"/>
        </w:rPr>
      </w:pP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hint="eastAsia"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报</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hint="eastAsia" w:ascii="方正小标宋简体" w:hAnsi="微软雅黑" w:eastAsia="方正小标宋简体"/>
          <w:bCs/>
          <w:spacing w:val="-4"/>
          <w:sz w:val="72"/>
          <w:szCs w:val="72"/>
          <w:highlight w:val="none"/>
          <w:lang w:val="en-US" w:eastAsia="zh-CN"/>
        </w:rPr>
      </w:pPr>
      <w:r>
        <w:rPr>
          <w:rFonts w:hint="eastAsia" w:ascii="方正小标宋简体" w:hAnsi="微软雅黑" w:eastAsia="方正小标宋简体"/>
          <w:bCs/>
          <w:spacing w:val="-4"/>
          <w:sz w:val="72"/>
          <w:szCs w:val="72"/>
          <w:highlight w:val="none"/>
          <w:lang w:val="en-US" w:eastAsia="zh-CN"/>
        </w:rPr>
        <w:t>价</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文</w:t>
      </w:r>
    </w:p>
    <w:p>
      <w:pPr>
        <w:keepNext w:val="0"/>
        <w:keepLines w:val="0"/>
        <w:pageBreakBefore w:val="0"/>
        <w:widowControl w:val="0"/>
        <w:kinsoku/>
        <w:wordWrap/>
        <w:overflowPunct/>
        <w:topLinePunct w:val="0"/>
        <w:autoSpaceDE/>
        <w:autoSpaceDN/>
        <w:bidi w:val="0"/>
        <w:adjustRightInd/>
        <w:snapToGrid/>
        <w:spacing w:line="276" w:lineRule="auto"/>
        <w:ind w:right="160" w:rightChars="50" w:firstLine="0" w:firstLineChars="0"/>
        <w:jc w:val="center"/>
        <w:textAlignment w:val="auto"/>
        <w:outlineLvl w:val="9"/>
        <w:rPr>
          <w:rFonts w:ascii="方正小标宋简体" w:hAnsi="微软雅黑" w:eastAsia="方正小标宋简体"/>
          <w:bCs/>
          <w:spacing w:val="-4"/>
          <w:sz w:val="72"/>
          <w:szCs w:val="72"/>
          <w:highlight w:val="none"/>
        </w:rPr>
      </w:pPr>
      <w:r>
        <w:rPr>
          <w:rFonts w:hint="eastAsia" w:ascii="方正小标宋简体" w:hAnsi="微软雅黑" w:eastAsia="方正小标宋简体"/>
          <w:bCs/>
          <w:spacing w:val="-4"/>
          <w:sz w:val="72"/>
          <w:szCs w:val="72"/>
          <w:highlight w:val="none"/>
        </w:rPr>
        <w:t>件</w:t>
      </w:r>
    </w:p>
    <w:p>
      <w:pPr>
        <w:adjustRightInd w:val="0"/>
        <w:snapToGrid w:val="0"/>
        <w:spacing w:line="276" w:lineRule="auto"/>
        <w:ind w:right="160" w:rightChars="50"/>
        <w:jc w:val="center"/>
        <w:outlineLvl w:val="9"/>
        <w:rPr>
          <w:rFonts w:ascii="仿宋_GB2312" w:hAnsi="宋体" w:eastAsia="仿宋_GB2312"/>
          <w:b/>
          <w:sz w:val="24"/>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adjustRightInd w:val="0"/>
        <w:snapToGrid w:val="0"/>
        <w:spacing w:line="276" w:lineRule="auto"/>
        <w:ind w:right="160" w:rightChars="50"/>
        <w:jc w:val="center"/>
        <w:outlineLvl w:val="9"/>
        <w:rPr>
          <w:rFonts w:ascii="仿宋_GB2312" w:hAnsi="宋体" w:eastAsia="仿宋_GB2312"/>
          <w:b/>
          <w:sz w:val="28"/>
          <w:szCs w:val="28"/>
          <w:highlight w:val="none"/>
        </w:rPr>
      </w:pP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eastAsia" w:ascii="方正小标宋简体" w:hAnsi="宋体" w:eastAsia="方正小标宋简体"/>
          <w:sz w:val="32"/>
          <w:szCs w:val="32"/>
          <w:highlight w:val="none"/>
          <w:lang w:val="en-US" w:eastAsia="zh-CN"/>
        </w:rPr>
      </w:pP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方正小标宋简体" w:hAnsi="宋体" w:eastAsia="方正小标宋简体"/>
          <w:sz w:val="32"/>
          <w:szCs w:val="32"/>
          <w:highlight w:val="none"/>
          <w:lang w:val="en-US"/>
        </w:rPr>
      </w:pPr>
      <w:r>
        <w:rPr>
          <w:rFonts w:hint="eastAsia" w:ascii="方正小标宋简体" w:hAnsi="宋体" w:eastAsia="方正小标宋简体"/>
          <w:sz w:val="32"/>
          <w:szCs w:val="32"/>
          <w:highlight w:val="none"/>
          <w:lang w:val="en-US" w:eastAsia="zh-CN"/>
        </w:rPr>
        <w:t>申 请 人：</w:t>
      </w:r>
    </w:p>
    <w:p>
      <w:pPr>
        <w:keepNext w:val="0"/>
        <w:keepLines w:val="0"/>
        <w:pageBreakBefore w:val="0"/>
        <w:kinsoku/>
        <w:wordWrap/>
        <w:overflowPunct/>
        <w:topLinePunct w:val="0"/>
        <w:autoSpaceDE/>
        <w:autoSpaceDN/>
        <w:bidi w:val="0"/>
        <w:adjustRightInd w:val="0"/>
        <w:snapToGrid w:val="0"/>
        <w:spacing w:line="600" w:lineRule="exact"/>
        <w:ind w:right="0" w:rightChars="0" w:firstLine="640" w:firstLineChars="200"/>
        <w:jc w:val="left"/>
        <w:textAlignment w:val="auto"/>
        <w:outlineLvl w:val="9"/>
        <w:rPr>
          <w:rFonts w:hint="default" w:ascii="方正小标宋简体" w:hAnsi="宋体" w:eastAsia="方正小标宋简体"/>
          <w:sz w:val="32"/>
          <w:szCs w:val="32"/>
          <w:highlight w:val="none"/>
          <w:lang w:val="en-US" w:eastAsia="zh-CN"/>
        </w:rPr>
      </w:pPr>
      <w:r>
        <w:rPr>
          <w:rFonts w:hint="eastAsia" w:ascii="方正小标宋简体" w:hAnsi="宋体" w:eastAsia="方正小标宋简体"/>
          <w:sz w:val="32"/>
          <w:szCs w:val="32"/>
          <w:highlight w:val="none"/>
          <w:lang w:val="en-US" w:eastAsia="zh-CN"/>
        </w:rPr>
        <w:t xml:space="preserve">日    期：      </w:t>
      </w:r>
      <w:r>
        <w:rPr>
          <w:rFonts w:hint="eastAsia" w:ascii="方正小标宋简体" w:hAnsi="宋体" w:eastAsia="方正小标宋简体"/>
          <w:sz w:val="32"/>
          <w:szCs w:val="32"/>
          <w:highlight w:val="none"/>
        </w:rPr>
        <w:t>年</w:t>
      </w:r>
      <w:r>
        <w:rPr>
          <w:rFonts w:hint="eastAsia" w:ascii="方正小标宋简体" w:hAnsi="宋体" w:eastAsia="方正小标宋简体"/>
          <w:sz w:val="32"/>
          <w:szCs w:val="32"/>
          <w:highlight w:val="none"/>
          <w:lang w:val="en-US" w:eastAsia="zh-CN"/>
        </w:rPr>
        <w:t xml:space="preserve">    </w:t>
      </w:r>
      <w:r>
        <w:rPr>
          <w:rFonts w:hint="eastAsia" w:ascii="方正小标宋简体" w:hAnsi="宋体" w:eastAsia="方正小标宋简体"/>
          <w:sz w:val="32"/>
          <w:szCs w:val="32"/>
          <w:highlight w:val="none"/>
        </w:rPr>
        <w:t>月</w:t>
      </w:r>
      <w:r>
        <w:rPr>
          <w:rFonts w:hint="eastAsia" w:ascii="方正小标宋简体" w:hAnsi="宋体" w:eastAsia="方正小标宋简体"/>
          <w:sz w:val="32"/>
          <w:szCs w:val="32"/>
          <w:highlight w:val="none"/>
          <w:lang w:val="en-US" w:eastAsia="zh-CN"/>
        </w:rPr>
        <w:t xml:space="preserve">      日</w:t>
      </w:r>
    </w:p>
    <w:p>
      <w:pPr>
        <w:keepNext w:val="0"/>
        <w:keepLines w:val="0"/>
        <w:pageBreakBefore w:val="0"/>
        <w:widowControl/>
        <w:kinsoku/>
        <w:wordWrap/>
        <w:overflowPunct/>
        <w:topLinePunct w:val="0"/>
        <w:autoSpaceDE/>
        <w:autoSpaceDN/>
        <w:bidi w:val="0"/>
        <w:spacing w:line="360" w:lineRule="auto"/>
        <w:ind w:right="0" w:rightChars="0" w:firstLine="562" w:firstLineChars="200"/>
        <w:jc w:val="left"/>
        <w:textAlignment w:val="auto"/>
        <w:outlineLvl w:val="9"/>
        <w:rPr>
          <w:rFonts w:ascii="仿宋_GB2312" w:hAnsi="宋体" w:eastAsia="仿宋_GB2312"/>
          <w:b/>
          <w:kern w:val="0"/>
          <w:sz w:val="28"/>
          <w:szCs w:val="28"/>
          <w:highlight w:val="none"/>
        </w:rPr>
        <w:sectPr>
          <w:footerReference r:id="rId5" w:type="default"/>
          <w:pgSz w:w="11905" w:h="16838"/>
          <w:pgMar w:top="1440" w:right="1083" w:bottom="1440" w:left="1083" w:header="850" w:footer="992" w:gutter="0"/>
          <w:pgBorders>
            <w:top w:val="none" w:sz="0" w:space="0"/>
            <w:left w:val="none" w:sz="0" w:space="0"/>
            <w:bottom w:val="none" w:sz="0" w:space="0"/>
            <w:right w:val="none" w:sz="0" w:space="0"/>
          </w:pgBorders>
          <w:pgNumType w:fmt="decimal"/>
          <w:cols w:space="0" w:num="1"/>
          <w:rtlGutter w:val="0"/>
          <w:docGrid w:type="lines" w:linePitch="436" w:charSpace="0"/>
        </w:sect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outlineLvl w:val="9"/>
        <w:rPr>
          <w:rFonts w:hint="eastAsia" w:ascii="黑体" w:hAnsi="黑体" w:eastAsia="黑体" w:cs="黑体"/>
          <w:kern w:val="2"/>
          <w:sz w:val="28"/>
          <w:szCs w:val="24"/>
          <w:highlight w:val="none"/>
          <w:lang w:val="en-US" w:eastAsia="zh-CN" w:bidi="ar-SA"/>
        </w:rPr>
      </w:pPr>
      <w:r>
        <w:rPr>
          <w:rFonts w:hint="eastAsia" w:ascii="黑体" w:hAnsi="黑体" w:eastAsia="黑体" w:cs="黑体"/>
          <w:kern w:val="2"/>
          <w:sz w:val="28"/>
          <w:szCs w:val="24"/>
          <w:highlight w:val="none"/>
          <w:lang w:val="en-US" w:eastAsia="zh-CN" w:bidi="ar-SA"/>
        </w:rPr>
        <w:t>一、承诺函</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四川蜀物兴川物流发展有限公司：</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我司对贵司所发的采购文件所有条款予以确认。并进一步承诺如下：</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1.我司所报的单价，已充分考虑了采购文件及合同范本要求中选单位应承担的所有义务及风险，由此造成或可能造成的费用我司已包含在报价中。</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kern w:val="2"/>
          <w:sz w:val="28"/>
        </w:rPr>
        <w:t>2.我司对采购文件及合同条款完全接受和遵守。我司承诺不调整合同条款。否则，贵司可以随时取消我司的中选资格。</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3.我司承诺不会因贵司对供货合同中的承包范围的调整而产生异议。</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4.我司的承诺函及所有向贵司递交的文件将作为合同的组成部分，与供货合同具有同样的法律效力。</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5.我司理解贵司预估数量不为最终结算数量，贵司有权根据项目实际需要进行数量调整，我司将严格按照调增后的数量履行保供义务，不以调减后的数量向贵司提出预期可得利益。</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6.在材料质量上将严格满足国家最新质量标准及项目实际需要，在供货过程中保证供应材料为厂家原产材料，各类质量资料随货同行，并保证各类质量资料真实有效，出现的质量问题我司将按贵司要求质量及时限调换合格材料进场。</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7.在供应时间上将严格按项目要求时间组织材料进场，我司的保证措施是根据进场时间和规格型号要求提前做好备料，确因某些型号材料短期缺货将积极配合项目与业主监理协商沟通进行替换。</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申请人：</w:t>
      </w:r>
      <w:r>
        <w:rPr>
          <w:rFonts w:hint="eastAsia" w:cs="Times New Roman"/>
          <w:kern w:val="2"/>
          <w:sz w:val="28"/>
          <w:szCs w:val="24"/>
          <w:highlight w:val="none"/>
          <w:u w:val="single"/>
          <w:lang w:val="en-US" w:eastAsia="zh-CN" w:bidi="ar-SA"/>
        </w:rPr>
        <w:t xml:space="preserve">                   </w:t>
      </w:r>
      <w:r>
        <w:rPr>
          <w:rFonts w:hint="eastAsia" w:cs="Times New Roman"/>
          <w:kern w:val="2"/>
          <w:sz w:val="28"/>
          <w:szCs w:val="24"/>
          <w:highlight w:val="none"/>
          <w:lang w:val="en-US" w:eastAsia="zh-CN" w:bidi="ar-SA"/>
        </w:rPr>
        <w:t>（公章）</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法定代表人：</w:t>
      </w:r>
      <w:r>
        <w:rPr>
          <w:rFonts w:hint="eastAsia" w:cs="Times New Roman"/>
          <w:kern w:val="2"/>
          <w:sz w:val="28"/>
          <w:szCs w:val="24"/>
          <w:highlight w:val="none"/>
          <w:u w:val="single"/>
          <w:lang w:val="en-US" w:eastAsia="zh-CN" w:bidi="ar-SA"/>
        </w:rPr>
        <w:t xml:space="preserve">               </w:t>
      </w:r>
      <w:r>
        <w:rPr>
          <w:rFonts w:hint="eastAsia" w:cs="Times New Roman"/>
          <w:kern w:val="2"/>
          <w:sz w:val="28"/>
          <w:szCs w:val="24"/>
          <w:highlight w:val="none"/>
          <w:lang w:val="en-US" w:eastAsia="zh-CN" w:bidi="ar-SA"/>
        </w:rPr>
        <w:t>（签字）</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或其授权的代理人：</w:t>
      </w:r>
      <w:r>
        <w:rPr>
          <w:rFonts w:hint="eastAsia" w:cs="Times New Roman"/>
          <w:kern w:val="2"/>
          <w:sz w:val="28"/>
          <w:szCs w:val="24"/>
          <w:highlight w:val="none"/>
          <w:u w:val="single"/>
          <w:lang w:val="en-US" w:eastAsia="zh-CN" w:bidi="ar-SA"/>
        </w:rPr>
        <w:t xml:space="preserve">         </w:t>
      </w:r>
      <w:r>
        <w:rPr>
          <w:rFonts w:hint="eastAsia" w:cs="Times New Roman"/>
          <w:kern w:val="2"/>
          <w:sz w:val="28"/>
          <w:szCs w:val="24"/>
          <w:highlight w:val="none"/>
          <w:lang w:val="en-US" w:eastAsia="zh-CN" w:bidi="ar-SA"/>
        </w:rPr>
        <w:t>（签字）</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t xml:space="preserve">         日期：       年    月    日</w:t>
      </w:r>
    </w:p>
    <w:p>
      <w:pPr>
        <w:rPr>
          <w:rFonts w:hint="eastAsia" w:cs="Times New Roman"/>
          <w:kern w:val="2"/>
          <w:sz w:val="28"/>
          <w:szCs w:val="24"/>
          <w:highlight w:val="none"/>
          <w:lang w:val="en-US" w:eastAsia="zh-CN" w:bidi="ar-SA"/>
        </w:rPr>
      </w:pPr>
      <w:r>
        <w:rPr>
          <w:rFonts w:hint="eastAsia" w:cs="Times New Roman"/>
          <w:kern w:val="2"/>
          <w:sz w:val="28"/>
          <w:szCs w:val="24"/>
          <w:highlight w:val="none"/>
          <w:lang w:val="en-US" w:eastAsia="zh-CN" w:bidi="ar-SA"/>
        </w:rPr>
        <w:br w:type="page"/>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0" w:firstLineChars="0"/>
        <w:jc w:val="both"/>
        <w:outlineLvl w:val="9"/>
        <w:rPr>
          <w:rFonts w:hint="eastAsia" w:ascii="仿宋_GB2312" w:hAnsi="仿宋_GB2312" w:eastAsia="仿宋_GB2312" w:cs="仿宋_GB2312"/>
          <w:b/>
          <w:bCs/>
          <w:sz w:val="28"/>
          <w:szCs w:val="28"/>
          <w:highlight w:val="none"/>
        </w:rPr>
      </w:pPr>
      <w:r>
        <w:rPr>
          <w:rFonts w:hint="eastAsia" w:ascii="黑体" w:hAnsi="黑体" w:eastAsia="黑体" w:cs="黑体"/>
          <w:kern w:val="2"/>
          <w:sz w:val="28"/>
          <w:szCs w:val="24"/>
          <w:highlight w:val="none"/>
          <w:lang w:val="en-US" w:eastAsia="zh-CN" w:bidi="ar-SA"/>
        </w:rPr>
        <w:t>二、报价表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kern w:val="0"/>
          <w:sz w:val="28"/>
          <w:szCs w:val="28"/>
          <w:highlight w:val="none"/>
          <w:lang w:val="en-US" w:eastAsia="zh-CN"/>
        </w:rPr>
      </w:pPr>
      <w:r>
        <w:rPr>
          <w:rFonts w:hint="eastAsia" w:ascii="楷体_GB2312" w:hAnsi="楷体_GB2312" w:eastAsia="楷体_GB2312" w:cs="楷体_GB2312"/>
          <w:b w:val="0"/>
          <w:bCs/>
          <w:kern w:val="0"/>
          <w:sz w:val="28"/>
          <w:szCs w:val="28"/>
          <w:highlight w:val="none"/>
          <w:lang w:eastAsia="zh-CN"/>
        </w:rPr>
        <w:t>（</w:t>
      </w:r>
      <w:r>
        <w:rPr>
          <w:rFonts w:hint="eastAsia" w:ascii="楷体_GB2312" w:hAnsi="楷体_GB2312" w:eastAsia="楷体_GB2312" w:cs="楷体_GB2312"/>
          <w:b w:val="0"/>
          <w:bCs/>
          <w:kern w:val="0"/>
          <w:sz w:val="28"/>
          <w:szCs w:val="28"/>
          <w:highlight w:val="none"/>
          <w:lang w:val="en-US" w:eastAsia="zh-CN"/>
        </w:rPr>
        <w:t>一</w:t>
      </w:r>
      <w:r>
        <w:rPr>
          <w:rFonts w:hint="eastAsia" w:ascii="楷体_GB2312" w:hAnsi="楷体_GB2312" w:eastAsia="楷体_GB2312" w:cs="楷体_GB2312"/>
          <w:b w:val="0"/>
          <w:bCs/>
          <w:kern w:val="0"/>
          <w:sz w:val="28"/>
          <w:szCs w:val="28"/>
          <w:highlight w:val="none"/>
          <w:lang w:eastAsia="zh-CN"/>
        </w:rPr>
        <w:t>）</w:t>
      </w:r>
      <w:r>
        <w:rPr>
          <w:rFonts w:hint="eastAsia" w:ascii="楷体_GB2312" w:hAnsi="楷体_GB2312" w:eastAsia="楷体_GB2312" w:cs="楷体_GB2312"/>
          <w:b w:val="0"/>
          <w:bCs/>
          <w:kern w:val="0"/>
          <w:sz w:val="28"/>
          <w:szCs w:val="28"/>
          <w:highlight w:val="none"/>
          <w:lang w:val="en-US" w:eastAsia="zh-CN"/>
        </w:rPr>
        <w:t>甲方付款方式</w:t>
      </w:r>
    </w:p>
    <w:p>
      <w:pPr>
        <w:keepNext w:val="0"/>
        <w:keepLines w:val="0"/>
        <w:pageBreakBefore w:val="0"/>
        <w:widowControl w:val="0"/>
        <w:wordWrap/>
        <w:overflowPunct/>
        <w:topLinePunct w:val="0"/>
        <w:bidi w:val="0"/>
        <w:spacing w:line="520" w:lineRule="exact"/>
        <w:ind w:left="0" w:leftChars="0" w:firstLine="616" w:firstLineChars="200"/>
        <w:jc w:val="both"/>
        <w:outlineLvl w:val="9"/>
        <w:rPr>
          <w:rFonts w:hint="eastAsia"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1.先货后款，</w:t>
      </w:r>
      <w:r>
        <w:rPr>
          <w:rFonts w:hint="eastAsia" w:ascii="仿宋_GB2312" w:hAnsi="仿宋_GB2312" w:cs="仿宋_GB2312"/>
          <w:spacing w:val="14"/>
          <w:sz w:val="28"/>
          <w:szCs w:val="28"/>
          <w:highlight w:val="none"/>
          <w:lang w:val="en-US" w:eastAsia="zh-CN"/>
        </w:rPr>
        <w:t>一票制</w:t>
      </w:r>
      <w:r>
        <w:rPr>
          <w:rFonts w:hint="eastAsia" w:ascii="仿宋_GB2312" w:hAnsi="仿宋_GB2312" w:eastAsia="仿宋_GB2312" w:cs="仿宋_GB2312"/>
          <w:spacing w:val="14"/>
          <w:sz w:val="28"/>
          <w:szCs w:val="28"/>
          <w:highlight w:val="none"/>
        </w:rPr>
        <w:t>结算</w:t>
      </w:r>
      <w:r>
        <w:rPr>
          <w:rFonts w:hint="eastAsia" w:ascii="仿宋_GB2312" w:hAnsi="仿宋_GB2312" w:eastAsia="仿宋_GB2312" w:cs="仿宋_GB2312"/>
          <w:spacing w:val="14"/>
          <w:sz w:val="28"/>
          <w:szCs w:val="28"/>
          <w:highlight w:val="none"/>
          <w:lang w:eastAsia="zh-CN"/>
        </w:rPr>
        <w:t>。</w:t>
      </w:r>
      <w:r>
        <w:rPr>
          <w:rFonts w:hint="eastAsia" w:ascii="仿宋_GB2312" w:hAnsi="仿宋_GB2312" w:eastAsia="仿宋_GB2312" w:cs="仿宋_GB2312"/>
          <w:spacing w:val="14"/>
          <w:sz w:val="28"/>
          <w:szCs w:val="28"/>
          <w:highlight w:val="none"/>
          <w:lang w:val="en-US" w:eastAsia="zh-CN"/>
        </w:rPr>
        <w:t>结算周期为上月21日至本月20日（根据项目情况同步调整）</w:t>
      </w:r>
      <w:r>
        <w:rPr>
          <w:rFonts w:hint="eastAsia" w:ascii="仿宋_GB2312" w:hAnsi="仿宋_GB2312" w:cs="仿宋_GB2312"/>
          <w:spacing w:val="14"/>
          <w:sz w:val="28"/>
          <w:szCs w:val="28"/>
          <w:highlight w:val="none"/>
          <w:lang w:val="en-US" w:eastAsia="zh-CN"/>
        </w:rPr>
        <w:t>.</w:t>
      </w:r>
      <w:r>
        <w:rPr>
          <w:rFonts w:hint="eastAsia" w:ascii="仿宋_GB2312" w:hAnsi="仿宋_GB2312" w:eastAsia="仿宋_GB2312" w:cs="仿宋_GB2312"/>
          <w:spacing w:val="14"/>
          <w:sz w:val="28"/>
          <w:szCs w:val="28"/>
          <w:highlight w:val="none"/>
          <w:lang w:val="en-US" w:eastAsia="zh-CN"/>
        </w:rPr>
        <w:t>自</w:t>
      </w:r>
      <w:r>
        <w:rPr>
          <w:rFonts w:hint="eastAsia" w:ascii="仿宋_GB2312" w:hAnsi="仿宋_GB2312" w:eastAsia="仿宋_GB2312" w:cs="仿宋_GB2312"/>
          <w:spacing w:val="14"/>
          <w:sz w:val="28"/>
          <w:szCs w:val="28"/>
          <w:highlight w:val="none"/>
        </w:rPr>
        <w:t>对账结算完毕之日并收到</w:t>
      </w:r>
      <w:r>
        <w:rPr>
          <w:rFonts w:hint="eastAsia" w:ascii="仿宋_GB2312" w:hAnsi="仿宋_GB2312" w:eastAsia="仿宋_GB2312" w:cs="仿宋_GB2312"/>
          <w:spacing w:val="14"/>
          <w:sz w:val="28"/>
          <w:szCs w:val="28"/>
          <w:highlight w:val="none"/>
          <w:lang w:val="en-US" w:eastAsia="zh-CN"/>
        </w:rPr>
        <w:t>乙方</w:t>
      </w:r>
      <w:r>
        <w:rPr>
          <w:rFonts w:hint="eastAsia" w:ascii="仿宋_GB2312" w:hAnsi="仿宋_GB2312" w:eastAsia="仿宋_GB2312" w:cs="仿宋_GB2312"/>
          <w:spacing w:val="14"/>
          <w:sz w:val="28"/>
          <w:szCs w:val="28"/>
          <w:highlight w:val="none"/>
        </w:rPr>
        <w:t>出具的</w:t>
      </w:r>
      <w:r>
        <w:rPr>
          <w:rFonts w:hint="eastAsia" w:ascii="仿宋_GB2312" w:hAnsi="仿宋_GB2312" w:eastAsia="仿宋_GB2312" w:cs="仿宋_GB2312"/>
          <w:spacing w:val="14"/>
          <w:sz w:val="28"/>
          <w:szCs w:val="28"/>
          <w:highlight w:val="none"/>
          <w:lang w:val="en-US" w:eastAsia="zh-CN"/>
        </w:rPr>
        <w:t>合法</w:t>
      </w:r>
      <w:r>
        <w:rPr>
          <w:rFonts w:hint="eastAsia" w:ascii="仿宋_GB2312" w:hAnsi="仿宋_GB2312" w:eastAsia="仿宋_GB2312" w:cs="仿宋_GB2312"/>
          <w:spacing w:val="14"/>
          <w:sz w:val="28"/>
          <w:szCs w:val="28"/>
          <w:highlight w:val="none"/>
        </w:rPr>
        <w:t>有效的足额增值税</w:t>
      </w:r>
      <w:r>
        <w:rPr>
          <w:rFonts w:hint="eastAsia" w:ascii="仿宋_GB2312" w:hAnsi="仿宋_GB2312" w:eastAsia="仿宋_GB2312" w:cs="仿宋_GB2312"/>
          <w:spacing w:val="14"/>
          <w:sz w:val="28"/>
          <w:szCs w:val="28"/>
          <w:highlight w:val="none"/>
          <w:lang w:val="en-US" w:eastAsia="zh-CN"/>
        </w:rPr>
        <w:t>专用</w:t>
      </w:r>
      <w:r>
        <w:rPr>
          <w:rFonts w:hint="eastAsia" w:ascii="仿宋_GB2312" w:hAnsi="仿宋_GB2312" w:eastAsia="仿宋_GB2312" w:cs="仿宋_GB2312"/>
          <w:spacing w:val="14"/>
          <w:sz w:val="28"/>
          <w:szCs w:val="28"/>
          <w:highlight w:val="none"/>
        </w:rPr>
        <w:t>发票之日起不超过15个工</w:t>
      </w:r>
      <w:r>
        <w:rPr>
          <w:rFonts w:hint="eastAsia" w:ascii="仿宋_GB2312" w:hAnsi="仿宋_GB2312" w:eastAsia="仿宋_GB2312" w:cs="仿宋_GB2312"/>
          <w:spacing w:val="14"/>
          <w:sz w:val="28"/>
          <w:szCs w:val="28"/>
          <w:highlight w:val="none"/>
          <w:lang w:val="en-US" w:eastAsia="zh-CN"/>
        </w:rPr>
        <w:t>作日，甲方进行付款</w:t>
      </w:r>
      <w:r>
        <w:rPr>
          <w:rFonts w:hint="eastAsia" w:ascii="仿宋_GB2312" w:hAnsi="仿宋_GB2312" w:cs="仿宋_GB2312"/>
          <w:spacing w:val="14"/>
          <w:sz w:val="28"/>
          <w:szCs w:val="28"/>
          <w:highlight w:val="none"/>
          <w:lang w:val="en-US" w:eastAsia="zh-CN"/>
        </w:rPr>
        <w:t>，乙方同意给予</w:t>
      </w:r>
      <w:r>
        <w:rPr>
          <w:rFonts w:hint="eastAsia" w:ascii="仿宋_GB2312" w:hAnsi="仿宋_GB2312" w:cs="仿宋_GB2312"/>
          <w:b/>
          <w:bCs/>
          <w:spacing w:val="14"/>
          <w:sz w:val="28"/>
          <w:szCs w:val="28"/>
          <w:highlight w:val="none"/>
          <w:u w:val="single"/>
          <w:lang w:val="en-US" w:eastAsia="zh-CN"/>
        </w:rPr>
        <w:t>1个月</w:t>
      </w:r>
      <w:r>
        <w:rPr>
          <w:rFonts w:hint="eastAsia" w:ascii="仿宋_GB2312" w:hAnsi="仿宋_GB2312" w:cs="仿宋_GB2312"/>
          <w:spacing w:val="14"/>
          <w:sz w:val="28"/>
          <w:szCs w:val="28"/>
          <w:highlight w:val="none"/>
          <w:lang w:val="en-US" w:eastAsia="zh-CN"/>
        </w:rPr>
        <w:t>的付款宽限期，在此宽限期间内不视为甲方违约且不计息。乙方给予理解，承诺不因此主张逾期利息等违约责任且乙方不得以此为由中断本项目的货物供应。</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6" w:firstLineChars="200"/>
        <w:jc w:val="left"/>
        <w:textAlignment w:val="auto"/>
        <w:outlineLvl w:val="9"/>
        <w:rPr>
          <w:rFonts w:hint="eastAsia"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2.对账结算资料包含送货单、签收单、对账单等原件，对账单经双方授权人签字并加盖公章，甲方收集齐全上述资料即为对账结算手续办理完毕。</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16" w:firstLineChars="200"/>
        <w:jc w:val="left"/>
        <w:textAlignment w:val="auto"/>
        <w:outlineLvl w:val="9"/>
        <w:rPr>
          <w:rFonts w:hint="default" w:ascii="仿宋_GB2312" w:hAnsi="仿宋_GB2312" w:eastAsia="仿宋_GB2312" w:cs="仿宋_GB2312"/>
          <w:spacing w:val="14"/>
          <w:sz w:val="28"/>
          <w:szCs w:val="28"/>
          <w:highlight w:val="none"/>
          <w:lang w:val="en-US" w:eastAsia="zh-CN"/>
        </w:rPr>
      </w:pPr>
      <w:r>
        <w:rPr>
          <w:rFonts w:hint="eastAsia" w:ascii="仿宋_GB2312" w:hAnsi="仿宋_GB2312" w:eastAsia="仿宋_GB2312" w:cs="仿宋_GB2312"/>
          <w:spacing w:val="14"/>
          <w:sz w:val="28"/>
          <w:szCs w:val="28"/>
          <w:highlight w:val="none"/>
          <w:lang w:val="en-US" w:eastAsia="zh-CN"/>
        </w:rPr>
        <w:t>3.支付方式：现款(银行转账)、银行承兑汇票、云信、E信通。甲方以银行承兑汇票、云信、E信通进行货款支付的，由乙方承担贴息费用。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left"/>
        <w:textAlignment w:val="auto"/>
        <w:outlineLvl w:val="9"/>
        <w:rPr>
          <w:rFonts w:hint="eastAsia" w:ascii="楷体_GB2312" w:hAnsi="楷体_GB2312" w:eastAsia="楷体_GB2312" w:cs="楷体_GB2312"/>
          <w:b w:val="0"/>
          <w:bCs/>
          <w:kern w:val="0"/>
          <w:sz w:val="28"/>
          <w:szCs w:val="28"/>
          <w:highlight w:val="none"/>
          <w:lang w:val="en-US" w:eastAsia="zh-CN"/>
        </w:rPr>
      </w:pPr>
      <w:r>
        <w:rPr>
          <w:rFonts w:hint="eastAsia" w:ascii="楷体_GB2312" w:hAnsi="楷体_GB2312" w:eastAsia="楷体_GB2312" w:cs="楷体_GB2312"/>
          <w:b w:val="0"/>
          <w:bCs/>
          <w:kern w:val="0"/>
          <w:sz w:val="28"/>
          <w:szCs w:val="28"/>
          <w:highlight w:val="none"/>
          <w:lang w:val="en-US" w:eastAsia="zh-CN"/>
        </w:rPr>
        <w:t>（二）价格组成</w:t>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1.结算价=基准价+固定费用。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cs="Times New Roman"/>
          <w:color w:val="000000" w:themeColor="text1"/>
          <w:kern w:val="2"/>
          <w:sz w:val="28"/>
          <w:szCs w:val="24"/>
          <w:highlight w:val="none"/>
          <w:lang w:val="en-US" w:eastAsia="zh-CN" w:bidi="ar-SA"/>
          <w14:textFill>
            <w14:solidFill>
              <w14:schemeClr w14:val="tx1"/>
            </w14:solidFill>
          </w14:textFill>
        </w:rPr>
      </w:pPr>
      <w:r>
        <w:rPr>
          <w:rFonts w:hint="eastAsia" w:ascii="仿宋_GB2312" w:hAnsi="仿宋_GB2312" w:eastAsia="仿宋_GB2312" w:cs="仿宋_GB2312"/>
          <w:kern w:val="0"/>
          <w:sz w:val="28"/>
          <w:szCs w:val="28"/>
          <w:highlight w:val="none"/>
          <w:lang w:val="en-US" w:eastAsia="zh-CN"/>
        </w:rPr>
        <w:t>2.</w:t>
      </w:r>
      <w:bookmarkStart w:id="0" w:name="_GoBack"/>
      <w:r>
        <w:rPr>
          <w:rFonts w:hint="default" w:cs="Times New Roman"/>
          <w:color w:val="000000" w:themeColor="text1"/>
          <w:kern w:val="2"/>
          <w:sz w:val="28"/>
          <w:szCs w:val="24"/>
          <w:highlight w:val="none"/>
          <w:lang w:val="en-US" w:eastAsia="zh-CN" w:bidi="ar-SA"/>
          <w14:textFill>
            <w14:solidFill>
              <w14:schemeClr w14:val="tx1"/>
            </w14:solidFill>
          </w14:textFill>
        </w:rPr>
        <w:t>达州绕城高速西段</w:t>
      </w:r>
      <w:r>
        <w:rPr>
          <w:rFonts w:hint="eastAsia" w:cs="Times New Roman"/>
          <w:kern w:val="2"/>
          <w:sz w:val="28"/>
          <w:szCs w:val="24"/>
          <w:highlight w:val="none"/>
          <w:lang w:val="en-US" w:eastAsia="zh-CN" w:bidi="ar-SA"/>
        </w:rPr>
        <w:t>RX2</w:t>
      </w:r>
      <w:r>
        <w:rPr>
          <w:rFonts w:hint="default" w:cs="Times New Roman"/>
          <w:color w:val="000000" w:themeColor="text1"/>
          <w:kern w:val="2"/>
          <w:sz w:val="28"/>
          <w:szCs w:val="24"/>
          <w:highlight w:val="none"/>
          <w:lang w:val="en-US" w:eastAsia="zh-CN" w:bidi="ar-SA"/>
          <w14:textFill>
            <w14:solidFill>
              <w14:schemeClr w14:val="tx1"/>
            </w14:solidFill>
          </w14:textFill>
        </w:rPr>
        <w:t>项目</w:t>
      </w:r>
      <w:r>
        <w:rPr>
          <w:rFonts w:hint="eastAsia" w:cs="Times New Roman"/>
          <w:color w:val="000000" w:themeColor="text1"/>
          <w:kern w:val="2"/>
          <w:sz w:val="28"/>
          <w:szCs w:val="24"/>
          <w:highlight w:val="none"/>
          <w:lang w:val="en-US" w:eastAsia="zh-CN" w:bidi="ar-SA"/>
          <w14:textFill>
            <w14:solidFill>
              <w14:schemeClr w14:val="tx1"/>
            </w14:solidFill>
          </w14:textFill>
        </w:rPr>
        <w:t>基准价：在到货当日“我的钢铁网”成都区域价格行情中</w:t>
      </w:r>
      <w:r>
        <w:rPr>
          <w:rFonts w:hint="eastAsia" w:cs="Times New Roman"/>
          <w:color w:val="000000" w:themeColor="text1"/>
          <w:kern w:val="2"/>
          <w:sz w:val="28"/>
          <w:szCs w:val="24"/>
          <w:highlight w:val="none"/>
          <w:u w:val="single"/>
          <w:lang w:val="en-US" w:eastAsia="zh-CN" w:bidi="ar-SA"/>
          <w14:textFill>
            <w14:solidFill>
              <w14:schemeClr w14:val="tx1"/>
            </w14:solidFill>
          </w14:textFill>
        </w:rPr>
        <w:t>达钢</w:t>
      </w:r>
      <w:r>
        <w:rPr>
          <w:rFonts w:hint="eastAsia" w:cs="Times New Roman"/>
          <w:color w:val="000000" w:themeColor="text1"/>
          <w:kern w:val="2"/>
          <w:sz w:val="28"/>
          <w:szCs w:val="24"/>
          <w:highlight w:val="none"/>
          <w:lang w:val="en-US" w:eastAsia="zh-CN" w:bidi="ar-SA"/>
          <w14:textFill>
            <w14:solidFill>
              <w14:schemeClr w14:val="tx1"/>
            </w14:solidFill>
          </w14:textFill>
        </w:rPr>
        <w:t>对应的钢筋网价、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昆钢、日照</w:t>
      </w:r>
      <w:r>
        <w:rPr>
          <w:rFonts w:hint="eastAsia" w:cs="Times New Roman"/>
          <w:color w:val="000000" w:themeColor="text1"/>
          <w:kern w:val="2"/>
          <w:sz w:val="28"/>
          <w:szCs w:val="24"/>
          <w:highlight w:val="none"/>
          <w:lang w:val="en-US" w:eastAsia="zh-CN" w:bidi="ar-SA"/>
          <w14:textFill>
            <w14:solidFill>
              <w14:schemeClr w14:val="tx1"/>
            </w14:solidFill>
          </w14:textFill>
        </w:rPr>
        <w:t>对应的工字钢网价、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传洋</w:t>
      </w:r>
      <w:r>
        <w:rPr>
          <w:rFonts w:hint="eastAsia" w:cs="Times New Roman"/>
          <w:color w:val="000000" w:themeColor="text1"/>
          <w:kern w:val="2"/>
          <w:sz w:val="28"/>
          <w:szCs w:val="24"/>
          <w:highlight w:val="none"/>
          <w:lang w:val="en-US" w:eastAsia="zh-CN" w:bidi="ar-SA"/>
          <w14:textFill>
            <w14:solidFill>
              <w14:schemeClr w14:val="tx1"/>
            </w14:solidFill>
          </w14:textFill>
        </w:rPr>
        <w:t>对应的角钢网价、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唐山欧联、日照</w:t>
      </w:r>
      <w:r>
        <w:rPr>
          <w:rFonts w:hint="eastAsia" w:cs="Times New Roman"/>
          <w:color w:val="000000" w:themeColor="text1"/>
          <w:kern w:val="2"/>
          <w:sz w:val="28"/>
          <w:szCs w:val="24"/>
          <w:highlight w:val="none"/>
          <w:lang w:val="en-US" w:eastAsia="zh-CN" w:bidi="ar-SA"/>
          <w14:textFill>
            <w14:solidFill>
              <w14:schemeClr w14:val="tx1"/>
            </w14:solidFill>
          </w14:textFill>
        </w:rPr>
        <w:t>对应的槽钢网价、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兴华、马钢</w:t>
      </w:r>
      <w:r>
        <w:rPr>
          <w:rFonts w:hint="eastAsia" w:cs="Times New Roman"/>
          <w:color w:val="000000" w:themeColor="text1"/>
          <w:kern w:val="2"/>
          <w:sz w:val="28"/>
          <w:szCs w:val="24"/>
          <w:highlight w:val="none"/>
          <w:lang w:val="en-US" w:eastAsia="zh-CN" w:bidi="ar-SA"/>
          <w14:textFill>
            <w14:solidFill>
              <w14:schemeClr w14:val="tx1"/>
            </w14:solidFill>
          </w14:textFill>
        </w:rPr>
        <w:t>对应的H型钢网价、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重钢、攀钢</w:t>
      </w:r>
      <w:r>
        <w:rPr>
          <w:rFonts w:hint="eastAsia" w:cs="Times New Roman"/>
          <w:color w:val="000000" w:themeColor="text1"/>
          <w:kern w:val="2"/>
          <w:sz w:val="28"/>
          <w:szCs w:val="24"/>
          <w:highlight w:val="none"/>
          <w:lang w:val="en-US" w:eastAsia="zh-CN" w:bidi="ar-SA"/>
          <w14:textFill>
            <w14:solidFill>
              <w14:schemeClr w14:val="tx1"/>
            </w14:solidFill>
          </w14:textFill>
        </w:rPr>
        <w:t>对应的板材网价、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华岐</w:t>
      </w:r>
      <w:r>
        <w:rPr>
          <w:rFonts w:hint="eastAsia" w:cs="Times New Roman"/>
          <w:color w:val="000000" w:themeColor="text1"/>
          <w:kern w:val="2"/>
          <w:sz w:val="28"/>
          <w:szCs w:val="24"/>
          <w:highlight w:val="none"/>
          <w:lang w:val="en-US" w:eastAsia="zh-CN" w:bidi="ar-SA"/>
          <w14:textFill>
            <w14:solidFill>
              <w14:schemeClr w14:val="tx1"/>
            </w14:solidFill>
          </w14:textFill>
        </w:rPr>
        <w:t>对应的焊管网价、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攀成钢</w:t>
      </w:r>
      <w:r>
        <w:rPr>
          <w:rFonts w:hint="eastAsia" w:cs="Times New Roman"/>
          <w:color w:val="000000" w:themeColor="text1"/>
          <w:kern w:val="2"/>
          <w:sz w:val="28"/>
          <w:szCs w:val="24"/>
          <w:highlight w:val="none"/>
          <w:lang w:val="en-US" w:eastAsia="zh-CN" w:bidi="ar-SA"/>
          <w14:textFill>
            <w14:solidFill>
              <w14:schemeClr w14:val="tx1"/>
            </w14:solidFill>
          </w14:textFill>
        </w:rPr>
        <w:t>对应的流体管网价、</w:t>
      </w:r>
      <w:r>
        <w:rPr>
          <w:rFonts w:hint="eastAsia" w:cs="Times New Roman"/>
          <w:color w:val="000000" w:themeColor="text1"/>
          <w:kern w:val="2"/>
          <w:sz w:val="28"/>
          <w:szCs w:val="24"/>
          <w:highlight w:val="none"/>
          <w:u w:val="single"/>
          <w:lang w:val="en-US" w:eastAsia="zh-CN" w:bidi="ar-SA"/>
          <w14:textFill>
            <w14:solidFill>
              <w14:schemeClr w14:val="tx1"/>
            </w14:solidFill>
          </w14:textFill>
        </w:rPr>
        <w:t>四川振鸿</w:t>
      </w:r>
      <w:r>
        <w:rPr>
          <w:rFonts w:hint="eastAsia" w:cs="Times New Roman"/>
          <w:color w:val="000000" w:themeColor="text1"/>
          <w:kern w:val="2"/>
          <w:sz w:val="28"/>
          <w:szCs w:val="24"/>
          <w:highlight w:val="none"/>
          <w:lang w:val="en-US" w:eastAsia="zh-CN" w:bidi="ar-SA"/>
          <w14:textFill>
            <w14:solidFill>
              <w14:schemeClr w14:val="tx1"/>
            </w14:solidFill>
          </w14:textFill>
        </w:rPr>
        <w:t>对应的镀锌管网价（备注栏有特别说明的以备注栏价格结算）。如到货当日网上有多次价格公布，则以当日公布价格平均价为准，如到货当日是节假日网上未公布价格，则按前一天有网上公布价格为准。如所送钢材无相同厂家对应规格网价时，指定以对应型号钢筋、型材、板材或管材各厂家中最低报价作为参考网价；无网价的圆钢以对应规格螺纹钢网价为基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default" w:cs="Times New Roman"/>
          <w:kern w:val="2"/>
          <w:sz w:val="28"/>
          <w:szCs w:val="24"/>
          <w:highlight w:val="none"/>
          <w:lang w:val="en-US" w:eastAsia="zh-CN" w:bidi="ar-SA"/>
        </w:rPr>
      </w:pPr>
      <w:r>
        <w:rPr>
          <w:rFonts w:hint="eastAsia" w:cs="Times New Roman"/>
          <w:kern w:val="2"/>
          <w:sz w:val="28"/>
          <w:szCs w:val="24"/>
          <w:highlight w:val="none"/>
          <w:lang w:val="en-US" w:eastAsia="zh-CN" w:bidi="ar-SA"/>
        </w:rPr>
        <w:t>3、</w:t>
      </w:r>
      <w:r>
        <w:rPr>
          <w:rFonts w:hint="default" w:cs="Times New Roman"/>
          <w:kern w:val="2"/>
          <w:sz w:val="28"/>
          <w:szCs w:val="24"/>
          <w:highlight w:val="none"/>
          <w:lang w:val="en-US" w:eastAsia="zh-CN" w:bidi="ar-SA"/>
        </w:rPr>
        <w:t>达州绕城高速西段RX1项目</w:t>
      </w:r>
      <w:r>
        <w:rPr>
          <w:rFonts w:hint="eastAsia" w:cs="Times New Roman"/>
          <w:kern w:val="2"/>
          <w:sz w:val="28"/>
          <w:szCs w:val="24"/>
          <w:highlight w:val="none"/>
          <w:lang w:val="en-US" w:eastAsia="zh-CN" w:bidi="ar-SA"/>
        </w:rPr>
        <w:t>基准价</w:t>
      </w:r>
      <w:r>
        <w:rPr>
          <w:rFonts w:hint="default" w:cs="Times New Roman"/>
          <w:kern w:val="2"/>
          <w:sz w:val="28"/>
          <w:szCs w:val="24"/>
          <w:highlight w:val="none"/>
          <w:lang w:val="en-US" w:eastAsia="zh-CN" w:bidi="ar-SA"/>
        </w:rPr>
        <w:t>：</w:t>
      </w:r>
      <w:r>
        <w:rPr>
          <w:rFonts w:hint="eastAsia" w:cs="Times New Roman"/>
          <w:kern w:val="2"/>
          <w:sz w:val="28"/>
          <w:szCs w:val="24"/>
          <w:highlight w:val="none"/>
          <w:lang w:val="en-US" w:eastAsia="zh-CN" w:bidi="ar-SA"/>
        </w:rPr>
        <w:t>为到货日“我的钢铁网”（https://www.mysteel.com/）发布的“成都”市场相对应规格型号的价格；</w:t>
      </w:r>
      <w:r>
        <w:rPr>
          <w:rFonts w:hint="default" w:cs="Times New Roman"/>
          <w:kern w:val="2"/>
          <w:sz w:val="28"/>
          <w:szCs w:val="24"/>
          <w:highlight w:val="none"/>
          <w:lang w:val="en-US" w:eastAsia="zh-CN" w:bidi="ar-SA"/>
        </w:rPr>
        <w:t>工字钢</w:t>
      </w:r>
      <w:r>
        <w:rPr>
          <w:rFonts w:hint="eastAsia" w:cs="Times New Roman"/>
          <w:kern w:val="2"/>
          <w:sz w:val="28"/>
          <w:szCs w:val="24"/>
          <w:highlight w:val="none"/>
          <w:lang w:val="en-US" w:eastAsia="zh-CN" w:bidi="ar-SA"/>
        </w:rPr>
        <w:t>：</w:t>
      </w:r>
      <w:r>
        <w:rPr>
          <w:rFonts w:hint="default" w:cs="Times New Roman"/>
          <w:kern w:val="2"/>
          <w:sz w:val="28"/>
          <w:szCs w:val="24"/>
          <w:highlight w:val="none"/>
          <w:lang w:val="en-US" w:eastAsia="zh-CN" w:bidi="ar-SA"/>
        </w:rPr>
        <w:t>14</w:t>
      </w:r>
      <w:r>
        <w:rPr>
          <w:rFonts w:hint="eastAsia" w:cs="Times New Roman"/>
          <w:kern w:val="2"/>
          <w:sz w:val="28"/>
          <w:szCs w:val="24"/>
          <w:highlight w:val="none"/>
          <w:lang w:val="en-US" w:eastAsia="zh-CN" w:bidi="ar-SA"/>
        </w:rPr>
        <w:t>、16</w:t>
      </w:r>
      <w:r>
        <w:rPr>
          <w:rFonts w:hint="default" w:cs="Times New Roman"/>
          <w:kern w:val="2"/>
          <w:sz w:val="28"/>
          <w:szCs w:val="24"/>
          <w:highlight w:val="none"/>
          <w:lang w:val="en-US" w:eastAsia="zh-CN" w:bidi="ar-SA"/>
        </w:rPr>
        <w:t>对应山西晋南网价</w:t>
      </w:r>
      <w:r>
        <w:rPr>
          <w:rFonts w:hint="eastAsia" w:cs="Times New Roman"/>
          <w:kern w:val="2"/>
          <w:sz w:val="28"/>
          <w:szCs w:val="24"/>
          <w:highlight w:val="none"/>
          <w:lang w:val="en-US" w:eastAsia="zh-CN" w:bidi="ar-SA"/>
        </w:rPr>
        <w:t>、</w:t>
      </w:r>
      <w:r>
        <w:rPr>
          <w:rFonts w:hint="default" w:cs="Times New Roman"/>
          <w:kern w:val="2"/>
          <w:sz w:val="28"/>
          <w:szCs w:val="24"/>
          <w:highlight w:val="none"/>
          <w:lang w:val="en-US" w:eastAsia="zh-CN" w:bidi="ar-SA"/>
        </w:rPr>
        <w:t>18、20对应昆钢网价</w:t>
      </w:r>
      <w:r>
        <w:rPr>
          <w:rFonts w:hint="eastAsia" w:cs="Times New Roman"/>
          <w:kern w:val="2"/>
          <w:sz w:val="28"/>
          <w:szCs w:val="24"/>
          <w:highlight w:val="none"/>
          <w:lang w:val="en-US" w:eastAsia="zh-CN" w:bidi="ar-SA"/>
        </w:rPr>
        <w:t>；</w:t>
      </w:r>
      <w:r>
        <w:rPr>
          <w:rFonts w:hint="default" w:cs="Times New Roman"/>
          <w:kern w:val="2"/>
          <w:sz w:val="28"/>
          <w:szCs w:val="24"/>
          <w:highlight w:val="none"/>
          <w:lang w:val="en-US" w:eastAsia="zh-CN" w:bidi="ar-SA"/>
        </w:rPr>
        <w:t>钢板对应重钢</w:t>
      </w:r>
      <w:r>
        <w:rPr>
          <w:rFonts w:hint="eastAsia" w:cs="Times New Roman"/>
          <w:kern w:val="2"/>
          <w:sz w:val="28"/>
          <w:szCs w:val="24"/>
          <w:highlight w:val="none"/>
          <w:lang w:val="en-US" w:eastAsia="zh-CN" w:bidi="ar-SA"/>
        </w:rPr>
        <w:t>同规格</w:t>
      </w:r>
      <w:r>
        <w:rPr>
          <w:rFonts w:hint="default" w:cs="Times New Roman"/>
          <w:kern w:val="2"/>
          <w:sz w:val="28"/>
          <w:szCs w:val="24"/>
          <w:highlight w:val="none"/>
          <w:lang w:val="en-US" w:eastAsia="zh-CN" w:bidi="ar-SA"/>
        </w:rPr>
        <w:t>网价，无缝钢管102*6</w:t>
      </w:r>
      <w:r>
        <w:rPr>
          <w:rFonts w:hint="eastAsia" w:cs="Times New Roman"/>
          <w:kern w:val="2"/>
          <w:sz w:val="28"/>
          <w:szCs w:val="24"/>
          <w:highlight w:val="none"/>
          <w:lang w:val="en-US" w:eastAsia="zh-CN" w:bidi="ar-SA"/>
        </w:rPr>
        <w:t>对应108*6网价，</w:t>
      </w:r>
      <w:r>
        <w:rPr>
          <w:rFonts w:hint="default" w:cs="Times New Roman"/>
          <w:kern w:val="2"/>
          <w:sz w:val="28"/>
          <w:szCs w:val="24"/>
          <w:highlight w:val="none"/>
          <w:lang w:val="en-US" w:eastAsia="zh-CN" w:bidi="ar-SA"/>
        </w:rPr>
        <w:t>108*6对应中宝管业网价，140*8对应临沂金正阳133*5网价，角钢50*32*3对应安钢50*50*5的网价，100*100*8对应安钢100*100*10的网价，75*75*7对应安钢75*75*8的网价。如一天有多次网价，取当天最低价，如有备注，看备注。</w:t>
      </w:r>
      <w:r>
        <w:rPr>
          <w:rFonts w:hint="eastAsia" w:cs="Times New Roman"/>
          <w:kern w:val="2"/>
          <w:sz w:val="28"/>
          <w:szCs w:val="24"/>
          <w:highlight w:val="none"/>
          <w:lang w:val="en-US" w:eastAsia="zh-CN" w:bidi="ar-SA"/>
        </w:rPr>
        <w:t>节假日无网价的，参照前一工作日网价。</w:t>
      </w:r>
    </w:p>
    <w:bookmarkEnd w:id="0"/>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outlineLvl w:val="9"/>
        <w:rPr>
          <w:rFonts w:hint="eastAsia" w:ascii="仿宋_GB2312" w:hAnsi="仿宋_GB2312" w:eastAsia="仿宋_GB2312" w:cs="仿宋_GB2312"/>
          <w:spacing w:val="14"/>
          <w:kern w:val="2"/>
          <w:sz w:val="28"/>
          <w:szCs w:val="28"/>
          <w:highlight w:val="none"/>
          <w:lang w:val="en-US" w:eastAsia="zh-CN" w:bidi="ar-SA"/>
        </w:rPr>
      </w:pP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616" w:firstLineChars="200"/>
        <w:textAlignment w:val="auto"/>
        <w:rPr>
          <w:rFonts w:hint="default" w:ascii="仿宋_GB2312" w:hAnsi="仿宋_GB2312" w:eastAsia="仿宋_GB2312" w:cs="仿宋_GB2312"/>
          <w:spacing w:val="14"/>
          <w:kern w:val="2"/>
          <w:sz w:val="28"/>
          <w:szCs w:val="28"/>
          <w:highlight w:val="none"/>
          <w:lang w:val="en-US" w:eastAsia="zh-CN" w:bidi="ar-SA"/>
        </w:rPr>
      </w:pPr>
      <w:r>
        <w:rPr>
          <w:rFonts w:hint="eastAsia" w:ascii="仿宋_GB2312" w:hAnsi="仿宋_GB2312" w:eastAsia="仿宋_GB2312" w:cs="仿宋_GB2312"/>
          <w:spacing w:val="14"/>
          <w:kern w:val="2"/>
          <w:sz w:val="28"/>
          <w:szCs w:val="28"/>
          <w:highlight w:val="none"/>
          <w:lang w:val="en-US" w:eastAsia="zh-CN" w:bidi="ar-SA"/>
        </w:rPr>
        <w:t>因项目业主要求、市场行情、政策等客观因素发生变化需要调整基准价定价方式的（如参照网价执行条件），采购人将根据基准价调整政策与中选人另行协商，确定采购单价。</w:t>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616" w:firstLineChars="200"/>
        <w:textAlignment w:val="auto"/>
        <w:rPr>
          <w:rFonts w:hint="eastAsia" w:ascii="仿宋_GB2312" w:hAnsi="仿宋_GB2312" w:eastAsia="仿宋_GB2312" w:cs="仿宋_GB2312"/>
          <w:spacing w:val="14"/>
          <w:kern w:val="2"/>
          <w:sz w:val="28"/>
          <w:szCs w:val="28"/>
          <w:highlight w:val="none"/>
          <w:lang w:val="en-US" w:eastAsia="zh-CN" w:bidi="ar-SA"/>
        </w:rPr>
      </w:pPr>
      <w:r>
        <w:rPr>
          <w:rFonts w:hint="eastAsia" w:ascii="仿宋_GB2312" w:hAnsi="仿宋_GB2312" w:eastAsia="仿宋_GB2312" w:cs="仿宋_GB2312"/>
          <w:spacing w:val="14"/>
          <w:kern w:val="2"/>
          <w:sz w:val="28"/>
          <w:szCs w:val="28"/>
          <w:highlight w:val="none"/>
          <w:lang w:val="en-US" w:eastAsia="zh-CN" w:bidi="ar-SA"/>
        </w:rPr>
        <w:t>4.固定费用：包含但不限于检测费、装卸费（不含工地卸车费）、运杂费、税金、利润、资金成本、文本工具材料费等一切费用和所有合同明示或暗示的所有责任、义务和风险的综合单价。固定费用是综合到场结算单价中除基准价外的其它费用，除非上述定价方式改变双方另行协商采购单价，否则固定费用在整个合同执行过程中不作调整，仅随国家增值税税率调整而作相应调整。</w:t>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560" w:firstLineChars="200"/>
        <w:textAlignment w:val="auto"/>
        <w:rPr>
          <w:rFonts w:hint="eastAsia" w:ascii="仿宋_GB2312" w:hAnsi="仿宋_GB2312" w:eastAsia="仿宋_GB2312" w:cs="仿宋_GB2312"/>
          <w:kern w:val="0"/>
          <w:sz w:val="28"/>
          <w:szCs w:val="28"/>
          <w:highlight w:val="none"/>
        </w:rPr>
        <w:sectPr>
          <w:headerReference r:id="rId6" w:type="default"/>
          <w:footerReference r:id="rId7" w:type="default"/>
          <w:pgSz w:w="11905" w:h="16838"/>
          <w:pgMar w:top="1440" w:right="1083" w:bottom="1440" w:left="1083" w:header="850" w:footer="992" w:gutter="0"/>
          <w:pgBorders>
            <w:top w:val="none" w:sz="0" w:space="0"/>
            <w:left w:val="none" w:sz="0" w:space="0"/>
            <w:bottom w:val="none" w:sz="0" w:space="0"/>
            <w:right w:val="none" w:sz="0" w:space="0"/>
          </w:pgBorders>
          <w:cols w:space="0" w:num="1"/>
          <w:rtlGutter w:val="0"/>
          <w:docGrid w:type="lines" w:linePitch="436" w:charSpace="0"/>
        </w:sectPr>
      </w:pPr>
      <w:r>
        <w:rPr>
          <w:rFonts w:hint="eastAsia" w:ascii="仿宋_GB2312" w:hAnsi="仿宋_GB2312" w:eastAsia="仿宋_GB2312" w:cs="仿宋_GB2312"/>
          <w:kern w:val="0"/>
          <w:sz w:val="28"/>
          <w:szCs w:val="28"/>
          <w:highlight w:val="none"/>
        </w:rPr>
        <w:br w:type="page"/>
      </w: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560" w:firstLineChars="200"/>
        <w:textAlignment w:val="auto"/>
        <w:rPr>
          <w:rFonts w:hint="eastAsia" w:ascii="仿宋_GB2312" w:hAnsi="仿宋_GB2312" w:eastAsia="仿宋_GB2312" w:cs="仿宋_GB2312"/>
          <w:kern w:val="0"/>
          <w:sz w:val="28"/>
          <w:szCs w:val="28"/>
          <w:highlight w:val="none"/>
        </w:rPr>
      </w:pPr>
    </w:p>
    <w:p>
      <w:pPr>
        <w:widowControl w:val="0"/>
        <w:numPr>
          <w:ilvl w:val="0"/>
          <w:numId w:val="1"/>
        </w:numPr>
        <w:wordWrap/>
        <w:snapToGrid/>
        <w:spacing w:line="500" w:lineRule="exact"/>
        <w:ind w:left="0" w:leftChars="0" w:firstLine="0" w:firstLineChars="0"/>
        <w:jc w:val="center"/>
        <w:textAlignment w:val="auto"/>
        <w:outlineLvl w:val="9"/>
        <w:rPr>
          <w:rFonts w:hint="eastAsia"/>
          <w:lang w:eastAsia="zh-CN"/>
        </w:rPr>
      </w:pPr>
      <w:r>
        <w:rPr>
          <w:rFonts w:hint="eastAsia" w:ascii="仿宋_GB2312" w:hAnsi="仿宋_GB2312" w:eastAsia="仿宋_GB2312" w:cs="仿宋_GB2312"/>
          <w:kern w:val="0"/>
          <w:sz w:val="28"/>
          <w:szCs w:val="28"/>
          <w:highlight w:val="none"/>
          <w:lang w:eastAsia="zh-CN"/>
        </w:rPr>
        <w:t>报价表</w:t>
      </w:r>
    </w:p>
    <w:tbl>
      <w:tblPr>
        <w:tblStyle w:val="9"/>
        <w:tblpPr w:leftFromText="180" w:rightFromText="180" w:vertAnchor="text" w:horzAnchor="page" w:tblpX="1192" w:tblpY="648"/>
        <w:tblOverlap w:val="never"/>
        <w:tblW w:w="13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93"/>
        <w:gridCol w:w="1005"/>
        <w:gridCol w:w="1511"/>
        <w:gridCol w:w="1170"/>
        <w:gridCol w:w="1035"/>
        <w:gridCol w:w="1260"/>
        <w:gridCol w:w="1290"/>
        <w:gridCol w:w="160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项目  名称</w:t>
            </w:r>
          </w:p>
        </w:tc>
        <w:tc>
          <w:tcPr>
            <w:tcW w:w="129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收货地址</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材料      名称</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型号规格</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预估重量（吨）</w:t>
            </w:r>
          </w:p>
        </w:tc>
        <w:tc>
          <w:tcPr>
            <w:tcW w:w="1035" w:type="dxa"/>
            <w:vAlign w:val="center"/>
          </w:tcPr>
          <w:p>
            <w:pPr>
              <w:pStyle w:val="13"/>
              <w:keepNext w:val="0"/>
              <w:keepLines w:val="0"/>
              <w:pageBreakBefore w:val="0"/>
              <w:widowControl w:val="0"/>
              <w:kinsoku/>
              <w:wordWrap/>
              <w:overflowPunct/>
              <w:topLinePunct w:val="0"/>
              <w:autoSpaceDE/>
              <w:autoSpaceDN/>
              <w:bidi w:val="0"/>
              <w:adjustRightInd w:val="0"/>
              <w:snapToGrid/>
              <w:spacing w:line="280" w:lineRule="exact"/>
              <w:ind w:left="0" w:leftChars="0" w:firstLine="0" w:firstLineChars="0"/>
              <w:jc w:val="center"/>
              <w:textAlignment w:val="auto"/>
              <w:rPr>
                <w:rFonts w:hint="eastAsia" w:ascii="仿宋" w:hAnsi="仿宋" w:eastAsia="仿宋" w:cs="仿宋"/>
                <w:b w:val="0"/>
                <w:bCs w:val="0"/>
                <w:kern w:val="0"/>
                <w:sz w:val="21"/>
                <w:szCs w:val="21"/>
                <w:highlight w:val="none"/>
                <w:vertAlign w:val="baseline"/>
              </w:rPr>
            </w:pPr>
            <w:r>
              <w:rPr>
                <w:rFonts w:hint="eastAsia" w:ascii="仿宋" w:hAnsi="仿宋" w:eastAsia="仿宋" w:cs="仿宋"/>
                <w:b w:val="0"/>
                <w:bCs w:val="0"/>
                <w:i w:val="0"/>
                <w:iCs w:val="0"/>
                <w:color w:val="000000"/>
                <w:kern w:val="0"/>
                <w:sz w:val="21"/>
                <w:szCs w:val="21"/>
                <w:highlight w:val="none"/>
                <w:u w:val="none"/>
                <w:lang w:val="en-US" w:eastAsia="zh-CN" w:bidi="ar"/>
              </w:rPr>
              <w:t>含税基准价（元/吨）</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综合固定费用(元/吨）税率13%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综合含税到场单价（元/吨）税率13%</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综合含税到场总价（元/吨）税率13%</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最高含税限价         （元/吨）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sz w:val="21"/>
                <w:szCs w:val="21"/>
                <w:u w:val="none"/>
                <w:lang w:val="en-US" w:eastAsia="zh-CN"/>
              </w:rPr>
              <w:t>达州绕城西段RX2钢材供应项目</w:t>
            </w:r>
          </w:p>
        </w:tc>
        <w:tc>
          <w:tcPr>
            <w:tcW w:w="12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达州市通川区复兴镇阎家湾</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达州市达川区罐子镇陈家咀</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left"/>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达州市达川区管村镇新岭村</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达州市达川区大堰镇石佛镇石佛沟</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盘圆</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HPB300Φ8</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2416.35</w:t>
            </w:r>
          </w:p>
        </w:tc>
        <w:tc>
          <w:tcPr>
            <w:tcW w:w="10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4500</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p>
          <w:p>
            <w:pPr>
              <w:pStyle w:val="2"/>
              <w:rPr>
                <w:rFonts w:hint="eastAsia"/>
                <w:lang w:val="en-US" w:eastAsia="zh-CN"/>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钢板</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16mm</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600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200" w:leftChars="0" w:hanging="200" w:hangingChars="100"/>
              <w:jc w:val="center"/>
              <w:textAlignment w:val="center"/>
              <w:rPr>
                <w:rFonts w:hint="eastAsia" w:ascii="仿宋" w:hAnsi="仿宋" w:eastAsia="仿宋" w:cs="仿宋"/>
                <w:sz w:val="20"/>
                <w:szCs w:val="20"/>
                <w:lang w:val="en-US" w:eastAsia="zh-CN"/>
              </w:rPr>
            </w:pPr>
            <w:r>
              <w:rPr>
                <w:rFonts w:hint="eastAsia" w:ascii="仿宋" w:hAnsi="仿宋" w:eastAsia="仿宋" w:cs="仿宋"/>
                <w:sz w:val="20"/>
                <w:szCs w:val="20"/>
                <w:lang w:val="en-US" w:eastAsia="zh-CN"/>
              </w:rPr>
              <w:t xml:space="preserve">无缝 </w:t>
            </w:r>
          </w:p>
          <w:p>
            <w:pPr>
              <w:keepNext w:val="0"/>
              <w:keepLines w:val="0"/>
              <w:pageBreakBefore w:val="0"/>
              <w:widowControl/>
              <w:suppressLineNumbers w:val="0"/>
              <w:kinsoku/>
              <w:wordWrap/>
              <w:overflowPunct/>
              <w:topLinePunct w:val="0"/>
              <w:autoSpaceDE/>
              <w:autoSpaceDN/>
              <w:bidi w:val="0"/>
              <w:adjustRightInd/>
              <w:snapToGrid/>
              <w:spacing w:line="280" w:lineRule="exact"/>
              <w:ind w:left="200" w:leftChars="0" w:hanging="200" w:hangingChars="10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钢管</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Φ42*4</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1000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焊管</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Φ42*4</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750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角钢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∠63*40*7（6）L=60</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100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限价5000元/吨（无网价）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角钢</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∠63*63*6</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60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工字钢</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I18</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947.97</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工字钢</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I20b</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2143</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p>
            <w:pPr>
              <w:pStyle w:val="2"/>
              <w:rPr>
                <w:rFonts w:hint="eastAsia"/>
                <w:lang w:val="en-US" w:eastAsia="zh-CN"/>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工字钢</w:t>
            </w: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I22b</w:t>
            </w:r>
          </w:p>
        </w:tc>
        <w:tc>
          <w:tcPr>
            <w:tcW w:w="1170"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2078</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28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合计</w:t>
            </w:r>
          </w:p>
        </w:tc>
        <w:tc>
          <w:tcPr>
            <w:tcW w:w="1005" w:type="dxa"/>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511"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170" w:type="dxa"/>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10095.32</w:t>
            </w:r>
          </w:p>
        </w:tc>
        <w:tc>
          <w:tcPr>
            <w:tcW w:w="103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r>
    </w:tbl>
    <w:p>
      <w:pPr>
        <w:ind w:left="0" w:leftChars="0" w:firstLine="320" w:firstLineChars="100"/>
        <w:rPr>
          <w:rFonts w:hint="default"/>
          <w:lang w:val="en-US" w:eastAsia="zh-CN"/>
        </w:rPr>
        <w:sectPr>
          <w:pgSz w:w="16838" w:h="11905" w:orient="landscape"/>
          <w:pgMar w:top="1077" w:right="1077" w:bottom="1077" w:left="1077" w:header="850" w:footer="992" w:gutter="0"/>
          <w:pgBorders>
            <w:top w:val="none" w:sz="0" w:space="0"/>
            <w:left w:val="none" w:sz="0" w:space="0"/>
            <w:bottom w:val="none" w:sz="0" w:space="0"/>
            <w:right w:val="none" w:sz="0" w:space="0"/>
          </w:pgBorders>
          <w:cols w:space="0" w:num="1"/>
          <w:rtlGutter w:val="0"/>
          <w:docGrid w:type="lines" w:linePitch="443" w:charSpace="0"/>
        </w:sectPr>
      </w:pPr>
      <w:r>
        <w:rPr>
          <w:rFonts w:hint="eastAsia"/>
          <w:lang w:eastAsia="zh-CN"/>
        </w:rPr>
        <w:t>表</w:t>
      </w:r>
      <w:r>
        <w:rPr>
          <w:rFonts w:hint="eastAsia"/>
          <w:lang w:val="en-US" w:eastAsia="zh-CN"/>
        </w:rPr>
        <w:t>4-1</w:t>
      </w:r>
    </w:p>
    <w:p>
      <w:pPr>
        <w:ind w:left="0" w:leftChars="0" w:firstLine="320" w:firstLineChars="100"/>
        <w:rPr>
          <w:rFonts w:hint="eastAsia"/>
          <w:lang w:val="en-US" w:eastAsia="zh-CN"/>
        </w:rPr>
      </w:pPr>
      <w:r>
        <w:rPr>
          <w:rFonts w:hint="eastAsia"/>
          <w:lang w:eastAsia="zh-CN"/>
        </w:rPr>
        <w:t>表</w:t>
      </w:r>
      <w:r>
        <w:rPr>
          <w:rFonts w:hint="eastAsia"/>
          <w:lang w:val="en-US" w:eastAsia="zh-CN"/>
        </w:rPr>
        <w:t>4-2</w:t>
      </w:r>
    </w:p>
    <w:tbl>
      <w:tblPr>
        <w:tblStyle w:val="9"/>
        <w:tblpPr w:leftFromText="180" w:rightFromText="180" w:vertAnchor="text" w:horzAnchor="page" w:tblpX="1207" w:tblpY="169"/>
        <w:tblOverlap w:val="never"/>
        <w:tblW w:w="13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93"/>
        <w:gridCol w:w="1005"/>
        <w:gridCol w:w="1511"/>
        <w:gridCol w:w="1170"/>
        <w:gridCol w:w="1035"/>
        <w:gridCol w:w="1260"/>
        <w:gridCol w:w="1290"/>
        <w:gridCol w:w="160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项目  名称</w:t>
            </w:r>
          </w:p>
        </w:tc>
        <w:tc>
          <w:tcPr>
            <w:tcW w:w="129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收货地址</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材料      名称</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型号规格</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预估重量（吨）</w:t>
            </w:r>
          </w:p>
        </w:tc>
        <w:tc>
          <w:tcPr>
            <w:tcW w:w="1035" w:type="dxa"/>
            <w:vAlign w:val="center"/>
          </w:tcPr>
          <w:p>
            <w:pPr>
              <w:pStyle w:val="13"/>
              <w:keepNext w:val="0"/>
              <w:keepLines w:val="0"/>
              <w:pageBreakBefore w:val="0"/>
              <w:widowControl w:val="0"/>
              <w:kinsoku/>
              <w:wordWrap/>
              <w:overflowPunct/>
              <w:topLinePunct w:val="0"/>
              <w:autoSpaceDE/>
              <w:autoSpaceDN/>
              <w:bidi w:val="0"/>
              <w:adjustRightInd w:val="0"/>
              <w:snapToGrid/>
              <w:spacing w:line="280" w:lineRule="exact"/>
              <w:ind w:left="0" w:leftChars="0" w:firstLine="0" w:firstLineChars="0"/>
              <w:jc w:val="center"/>
              <w:textAlignment w:val="auto"/>
              <w:rPr>
                <w:rFonts w:hint="eastAsia" w:ascii="仿宋" w:hAnsi="仿宋" w:eastAsia="仿宋" w:cs="仿宋"/>
                <w:b w:val="0"/>
                <w:bCs w:val="0"/>
                <w:kern w:val="0"/>
                <w:sz w:val="21"/>
                <w:szCs w:val="21"/>
                <w:highlight w:val="none"/>
                <w:vertAlign w:val="baseline"/>
              </w:rPr>
            </w:pPr>
            <w:r>
              <w:rPr>
                <w:rFonts w:hint="eastAsia" w:ascii="仿宋" w:hAnsi="仿宋" w:eastAsia="仿宋" w:cs="仿宋"/>
                <w:b w:val="0"/>
                <w:bCs w:val="0"/>
                <w:i w:val="0"/>
                <w:iCs w:val="0"/>
                <w:color w:val="000000"/>
                <w:kern w:val="0"/>
                <w:sz w:val="21"/>
                <w:szCs w:val="21"/>
                <w:highlight w:val="none"/>
                <w:u w:val="none"/>
                <w:lang w:val="en-US" w:eastAsia="zh-CN" w:bidi="ar"/>
              </w:rPr>
              <w:t>含税基准价（元/吨）</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综合固定费用(元/吨）税率13%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综合含税到场单价（元/吨）税率13%</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综合含税到场总价（元/吨）税率13%</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最高含税限价         （元/吨）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sz w:val="21"/>
                <w:szCs w:val="21"/>
                <w:u w:val="none"/>
                <w:lang w:val="en-US" w:eastAsia="zh-CN"/>
              </w:rPr>
              <w:t>达州绕城西段RX2钢材供应项目</w:t>
            </w:r>
          </w:p>
        </w:tc>
        <w:tc>
          <w:tcPr>
            <w:tcW w:w="12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四川省甘孜藏族自治州康定市二台子中桥</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盘圆</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HPB300Φ6-8</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lang w:val="en-US" w:eastAsia="zh-CN"/>
              </w:rPr>
              <w:t>610</w:t>
            </w:r>
          </w:p>
        </w:tc>
        <w:tc>
          <w:tcPr>
            <w:tcW w:w="10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4500</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p>
          <w:p>
            <w:pPr>
              <w:pStyle w:val="2"/>
              <w:rPr>
                <w:rFonts w:hint="eastAsia"/>
                <w:lang w:val="en-US" w:eastAsia="zh-CN"/>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螺纹钢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HRB400EΦ12-25</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钢板</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16mm</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360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无缝  钢管</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Φ42*4</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焊管</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Φ42*4</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400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角钢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∠63*40*7（6）L=60</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限价5000元/吨（无网价）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角钢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∠63*63*6</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工字钢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I18-I22b</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1900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28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合计</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both"/>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7410.00</w:t>
            </w:r>
          </w:p>
        </w:tc>
        <w:tc>
          <w:tcPr>
            <w:tcW w:w="1035" w:type="dxa"/>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r>
    </w:tbl>
    <w:p>
      <w:pPr>
        <w:pStyle w:val="2"/>
        <w:rPr>
          <w:rFonts w:hint="eastAsia"/>
          <w:lang w:val="en-US" w:eastAsia="zh-CN"/>
        </w:rPr>
        <w:sectPr>
          <w:pgSz w:w="16838" w:h="11905" w:orient="landscape"/>
          <w:pgMar w:top="1077" w:right="1077" w:bottom="1077" w:left="1077" w:header="850" w:footer="992" w:gutter="0"/>
          <w:pgBorders>
            <w:top w:val="none" w:sz="0" w:space="0"/>
            <w:left w:val="none" w:sz="0" w:space="0"/>
            <w:bottom w:val="none" w:sz="0" w:space="0"/>
            <w:right w:val="none" w:sz="0" w:space="0"/>
          </w:pgBorders>
          <w:cols w:space="0" w:num="1"/>
          <w:rtlGutter w:val="0"/>
          <w:docGrid w:type="lines" w:linePitch="443" w:charSpace="0"/>
        </w:sectPr>
      </w:pPr>
    </w:p>
    <w:p>
      <w:pPr>
        <w:rPr>
          <w:rFonts w:hint="eastAsia"/>
          <w:lang w:val="en-US" w:eastAsia="zh-CN"/>
        </w:rPr>
      </w:pPr>
      <w:r>
        <w:rPr>
          <w:rFonts w:hint="eastAsia"/>
          <w:lang w:val="en-US" w:eastAsia="zh-CN"/>
        </w:rPr>
        <w:t>表4-3</w:t>
      </w:r>
    </w:p>
    <w:tbl>
      <w:tblPr>
        <w:tblStyle w:val="9"/>
        <w:tblpPr w:leftFromText="180" w:rightFromText="180" w:vertAnchor="text" w:horzAnchor="page" w:tblpX="1282" w:tblpY="72"/>
        <w:tblOverlap w:val="never"/>
        <w:tblW w:w="13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93"/>
        <w:gridCol w:w="1005"/>
        <w:gridCol w:w="1511"/>
        <w:gridCol w:w="1170"/>
        <w:gridCol w:w="1035"/>
        <w:gridCol w:w="1260"/>
        <w:gridCol w:w="1290"/>
        <w:gridCol w:w="1605"/>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项目  名称</w:t>
            </w:r>
          </w:p>
        </w:tc>
        <w:tc>
          <w:tcPr>
            <w:tcW w:w="129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收货地址</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材料      名称</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型号规格</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预估重量（吨）</w:t>
            </w:r>
          </w:p>
        </w:tc>
        <w:tc>
          <w:tcPr>
            <w:tcW w:w="1035" w:type="dxa"/>
            <w:vAlign w:val="center"/>
          </w:tcPr>
          <w:p>
            <w:pPr>
              <w:pStyle w:val="13"/>
              <w:keepNext w:val="0"/>
              <w:keepLines w:val="0"/>
              <w:pageBreakBefore w:val="0"/>
              <w:widowControl w:val="0"/>
              <w:kinsoku/>
              <w:wordWrap/>
              <w:overflowPunct/>
              <w:topLinePunct w:val="0"/>
              <w:autoSpaceDE/>
              <w:autoSpaceDN/>
              <w:bidi w:val="0"/>
              <w:adjustRightInd w:val="0"/>
              <w:snapToGrid/>
              <w:spacing w:line="280" w:lineRule="exact"/>
              <w:ind w:left="0" w:leftChars="0" w:firstLine="0" w:firstLineChars="0"/>
              <w:jc w:val="center"/>
              <w:textAlignment w:val="auto"/>
              <w:rPr>
                <w:rFonts w:hint="eastAsia" w:ascii="仿宋" w:hAnsi="仿宋" w:eastAsia="仿宋" w:cs="仿宋"/>
                <w:b w:val="0"/>
                <w:bCs w:val="0"/>
                <w:kern w:val="0"/>
                <w:sz w:val="21"/>
                <w:szCs w:val="21"/>
                <w:highlight w:val="none"/>
                <w:vertAlign w:val="baseline"/>
              </w:rPr>
            </w:pPr>
            <w:r>
              <w:rPr>
                <w:rFonts w:hint="eastAsia" w:ascii="仿宋" w:hAnsi="仿宋" w:eastAsia="仿宋" w:cs="仿宋"/>
                <w:b w:val="0"/>
                <w:bCs w:val="0"/>
                <w:i w:val="0"/>
                <w:iCs w:val="0"/>
                <w:color w:val="000000"/>
                <w:kern w:val="0"/>
                <w:sz w:val="21"/>
                <w:szCs w:val="21"/>
                <w:highlight w:val="none"/>
                <w:u w:val="none"/>
                <w:lang w:val="en-US" w:eastAsia="zh-CN" w:bidi="ar"/>
              </w:rPr>
              <w:t>含税基准价（元/吨）</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综合固定费用(元/吨）税率13%</w:t>
            </w: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综合含税到场单价（元/吨）税率13%</w:t>
            </w: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综合含税到场总价（元/吨）税率13%</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最高含税限价         （元/吨）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sz w:val="21"/>
                <w:szCs w:val="21"/>
                <w:u w:val="none"/>
                <w:lang w:val="en-US" w:eastAsia="zh-CN"/>
              </w:rPr>
              <w:t>达州绕城西段RX2钢材供应项目</w:t>
            </w:r>
          </w:p>
        </w:tc>
        <w:tc>
          <w:tcPr>
            <w:tcW w:w="12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both"/>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i w:val="0"/>
                <w:iCs w:val="0"/>
                <w:color w:val="000000"/>
                <w:kern w:val="0"/>
                <w:sz w:val="21"/>
                <w:szCs w:val="21"/>
                <w:u w:val="none"/>
                <w:lang w:val="en-US" w:eastAsia="zh-CN" w:bidi="ar"/>
              </w:rPr>
              <w:t>通江县两河口镇韩家岭和张家岭之间、通江县两河口镇三官庙村、通江县两河口镇大石头湾、通江县两河口镇枣子树坪</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螺纹钢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HRB400EΦ12-32</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sz w:val="20"/>
                <w:szCs w:val="20"/>
                <w:lang w:val="en-US" w:eastAsia="zh-CN"/>
              </w:rPr>
              <w:t>560</w:t>
            </w:r>
          </w:p>
        </w:tc>
        <w:tc>
          <w:tcPr>
            <w:tcW w:w="1035"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4500</w:t>
            </w: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-40（12米定尺加50元）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p>
          <w:p>
            <w:pPr>
              <w:pStyle w:val="2"/>
              <w:rPr>
                <w:rFonts w:hint="eastAsia"/>
                <w:lang w:val="en-US" w:eastAsia="zh-CN"/>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盘圆</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HPB300Φ6-10</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2821</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钢板</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5-30mm</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322</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无缝钢管</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Φ42*4</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160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焊管</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Φ42*4</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500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角钢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∠63*40*7（6）L=60</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116</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限价5000元/吨（无网价）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角钢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∠63*63*6</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76</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工字钢</w:t>
            </w: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I18-I22b</w:t>
            </w: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sz w:val="20"/>
                <w:szCs w:val="20"/>
                <w:lang w:val="en-US" w:eastAsia="zh-CN"/>
              </w:rPr>
              <w:t>1300</w:t>
            </w:r>
          </w:p>
        </w:tc>
        <w:tc>
          <w:tcPr>
            <w:tcW w:w="1035"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28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合计</w:t>
            </w:r>
          </w:p>
        </w:tc>
        <w:tc>
          <w:tcPr>
            <w:tcW w:w="10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511"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17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5855.00</w:t>
            </w:r>
          </w:p>
        </w:tc>
        <w:tc>
          <w:tcPr>
            <w:tcW w:w="1035" w:type="dxa"/>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126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60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r>
    </w:tbl>
    <w:p>
      <w:pPr>
        <w:ind w:left="0" w:leftChars="0" w:firstLine="0" w:firstLineChars="0"/>
        <w:rPr>
          <w:rFonts w:hint="default"/>
          <w:lang w:val="en-US" w:eastAsia="zh-CN"/>
        </w:rPr>
        <w:sectPr>
          <w:pgSz w:w="16838" w:h="11905" w:orient="landscape"/>
          <w:pgMar w:top="1077" w:right="1077" w:bottom="1077" w:left="1077" w:header="850" w:footer="992" w:gutter="0"/>
          <w:pgBorders>
            <w:top w:val="none" w:sz="0" w:space="0"/>
            <w:left w:val="none" w:sz="0" w:space="0"/>
            <w:bottom w:val="none" w:sz="0" w:space="0"/>
            <w:right w:val="none" w:sz="0" w:space="0"/>
          </w:pgBorders>
          <w:cols w:space="0" w:num="1"/>
          <w:rtlGutter w:val="0"/>
          <w:docGrid w:type="lines" w:linePitch="443" w:charSpace="0"/>
        </w:sectPr>
      </w:pPr>
    </w:p>
    <w:p>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textAlignment w:val="auto"/>
        <w:rPr>
          <w:rFonts w:hint="eastAsia"/>
          <w:lang w:val="en-US" w:eastAsia="zh-CN"/>
        </w:rPr>
      </w:pPr>
      <w:r>
        <w:rPr>
          <w:rFonts w:hint="eastAsia"/>
          <w:lang w:val="en-US" w:eastAsia="zh-CN"/>
        </w:rPr>
        <w:t>表4-4</w:t>
      </w:r>
    </w:p>
    <w:tbl>
      <w:tblPr>
        <w:tblStyle w:val="9"/>
        <w:tblpPr w:leftFromText="180" w:rightFromText="180" w:vertAnchor="text" w:horzAnchor="page" w:tblpX="1282" w:tblpY="72"/>
        <w:tblOverlap w:val="never"/>
        <w:tblW w:w="13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1293"/>
        <w:gridCol w:w="1210"/>
        <w:gridCol w:w="1905"/>
        <w:gridCol w:w="1095"/>
        <w:gridCol w:w="990"/>
        <w:gridCol w:w="1065"/>
        <w:gridCol w:w="1230"/>
        <w:gridCol w:w="1381"/>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987"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项目  名称</w:t>
            </w:r>
          </w:p>
        </w:tc>
        <w:tc>
          <w:tcPr>
            <w:tcW w:w="1293"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收货地址</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材料      名称</w:t>
            </w: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型号规格</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预估重量（吨）</w:t>
            </w:r>
          </w:p>
        </w:tc>
        <w:tc>
          <w:tcPr>
            <w:tcW w:w="990" w:type="dxa"/>
            <w:vAlign w:val="center"/>
          </w:tcPr>
          <w:p>
            <w:pPr>
              <w:pStyle w:val="13"/>
              <w:keepNext w:val="0"/>
              <w:keepLines w:val="0"/>
              <w:pageBreakBefore w:val="0"/>
              <w:widowControl w:val="0"/>
              <w:kinsoku/>
              <w:wordWrap/>
              <w:overflowPunct/>
              <w:topLinePunct w:val="0"/>
              <w:autoSpaceDE/>
              <w:autoSpaceDN/>
              <w:bidi w:val="0"/>
              <w:adjustRightInd w:val="0"/>
              <w:snapToGrid/>
              <w:spacing w:line="280" w:lineRule="exact"/>
              <w:ind w:left="0" w:leftChars="0" w:firstLine="0" w:firstLineChars="0"/>
              <w:jc w:val="center"/>
              <w:textAlignment w:val="auto"/>
              <w:rPr>
                <w:rFonts w:hint="eastAsia" w:ascii="仿宋" w:hAnsi="仿宋" w:eastAsia="仿宋" w:cs="仿宋"/>
                <w:b w:val="0"/>
                <w:bCs w:val="0"/>
                <w:kern w:val="0"/>
                <w:sz w:val="21"/>
                <w:szCs w:val="21"/>
                <w:highlight w:val="none"/>
                <w:vertAlign w:val="baseline"/>
              </w:rPr>
            </w:pPr>
            <w:r>
              <w:rPr>
                <w:rFonts w:hint="eastAsia" w:ascii="仿宋" w:hAnsi="仿宋" w:eastAsia="仿宋" w:cs="仿宋"/>
                <w:b w:val="0"/>
                <w:bCs w:val="0"/>
                <w:i w:val="0"/>
                <w:iCs w:val="0"/>
                <w:color w:val="000000"/>
                <w:kern w:val="0"/>
                <w:sz w:val="21"/>
                <w:szCs w:val="21"/>
                <w:highlight w:val="none"/>
                <w:u w:val="none"/>
                <w:lang w:val="en-US" w:eastAsia="zh-CN" w:bidi="ar"/>
              </w:rPr>
              <w:t>含税基准价（元/吨）</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综合固定费用(元/吨）税率13%</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default"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综合含税到场单价（元/吨）税率13%</w:t>
            </w: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2"/>
                <w:sz w:val="21"/>
                <w:szCs w:val="21"/>
                <w:highlight w:val="none"/>
                <w:u w:val="none"/>
                <w:lang w:val="en-US" w:eastAsia="zh-CN" w:bidi="ar-SA"/>
              </w:rPr>
              <w:t>综合含税到场总价（元/吨）税率13%</w:t>
            </w: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80" w:lineRule="exact"/>
              <w:ind w:left="0" w:leftChars="0" w:firstLine="0" w:firstLineChars="0"/>
              <w:jc w:val="center"/>
              <w:textAlignment w:val="center"/>
              <w:rPr>
                <w:rFonts w:hint="eastAsia" w:ascii="仿宋" w:hAnsi="仿宋" w:eastAsia="仿宋" w:cs="仿宋"/>
                <w:b w:val="0"/>
                <w:bCs w:val="0"/>
                <w:i w:val="0"/>
                <w:iCs w:val="0"/>
                <w:color w:val="000000"/>
                <w:kern w:val="2"/>
                <w:sz w:val="21"/>
                <w:szCs w:val="21"/>
                <w:highlight w:val="none"/>
                <w:u w:val="none"/>
                <w:lang w:val="en-US" w:eastAsia="zh-CN" w:bidi="ar-SA"/>
              </w:rPr>
            </w:pPr>
            <w:r>
              <w:rPr>
                <w:rFonts w:hint="eastAsia" w:ascii="仿宋" w:hAnsi="仿宋" w:eastAsia="仿宋" w:cs="仿宋"/>
                <w:b w:val="0"/>
                <w:bCs w:val="0"/>
                <w:i w:val="0"/>
                <w:iCs w:val="0"/>
                <w:color w:val="000000"/>
                <w:kern w:val="0"/>
                <w:sz w:val="21"/>
                <w:szCs w:val="21"/>
                <w:highlight w:val="none"/>
                <w:u w:val="none"/>
                <w:lang w:val="en-US" w:eastAsia="zh-CN" w:bidi="ar"/>
              </w:rPr>
              <w:t>最高含税限价         （元/吨）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987"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lang w:val="en-US" w:eastAsia="zh-CN"/>
              </w:rPr>
            </w:pPr>
            <w:r>
              <w:rPr>
                <w:rFonts w:hint="eastAsia" w:ascii="仿宋" w:hAnsi="仿宋" w:eastAsia="仿宋" w:cs="仿宋"/>
                <w:i w:val="0"/>
                <w:iCs w:val="0"/>
                <w:color w:val="000000"/>
                <w:sz w:val="21"/>
                <w:szCs w:val="21"/>
                <w:u w:val="none"/>
                <w:lang w:val="en-US" w:eastAsia="zh-CN"/>
              </w:rPr>
              <w:t>达州绕城西段RX1钢材供应项目</w:t>
            </w:r>
          </w:p>
        </w:tc>
        <w:tc>
          <w:tcPr>
            <w:tcW w:w="1293"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达州市通川区双龙镇石匣子</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达州市通川区双龙镇向家坝</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default" w:ascii="仿宋" w:hAnsi="仿宋" w:eastAsia="仿宋" w:cs="仿宋"/>
                <w:i w:val="0"/>
                <w:iCs w:val="0"/>
                <w:color w:val="000000"/>
                <w:sz w:val="21"/>
                <w:szCs w:val="21"/>
                <w:u w:val="none"/>
                <w:lang w:val="en-US" w:eastAsia="zh-CN"/>
              </w:rPr>
              <w:t>达州市达川区大堰镇田家庙</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工字钢</w:t>
            </w:r>
          </w:p>
        </w:tc>
        <w:tc>
          <w:tcPr>
            <w:tcW w:w="1905" w:type="dxa"/>
            <w:vAlign w:val="center"/>
          </w:tcPr>
          <w:p>
            <w:pPr>
              <w:keepNext w:val="0"/>
              <w:keepLines w:val="0"/>
              <w:widowControl/>
              <w:suppressLineNumbers w:val="0"/>
              <w:ind w:firstLine="400" w:firstLineChars="20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20</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461</w:t>
            </w:r>
          </w:p>
        </w:tc>
        <w:tc>
          <w:tcPr>
            <w:tcW w:w="990"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4500</w:t>
            </w: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987" w:type="dxa"/>
            <w:vMerge w:val="continue"/>
            <w:vAlign w:val="center"/>
          </w:tcPr>
          <w:p>
            <w:pPr>
              <w:pStyle w:val="2"/>
              <w:jc w:val="center"/>
              <w:rPr>
                <w:rFonts w:hint="eastAsia"/>
                <w:lang w:val="en-US" w:eastAsia="zh-CN"/>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工字钢</w:t>
            </w:r>
          </w:p>
        </w:tc>
        <w:tc>
          <w:tcPr>
            <w:tcW w:w="1905" w:type="dxa"/>
            <w:vAlign w:val="center"/>
          </w:tcPr>
          <w:p>
            <w:pPr>
              <w:keepNext w:val="0"/>
              <w:keepLines w:val="0"/>
              <w:widowControl/>
              <w:suppressLineNumbers w:val="0"/>
              <w:ind w:firstLine="400" w:firstLineChars="20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18</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3889</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工字钢</w:t>
            </w:r>
          </w:p>
        </w:tc>
        <w:tc>
          <w:tcPr>
            <w:tcW w:w="1905" w:type="dxa"/>
            <w:vAlign w:val="center"/>
          </w:tcPr>
          <w:p>
            <w:pPr>
              <w:keepNext w:val="0"/>
              <w:keepLines w:val="0"/>
              <w:widowControl/>
              <w:suppressLineNumbers w:val="0"/>
              <w:ind w:firstLine="400" w:firstLineChars="20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16</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2783</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唐山弘泰网价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工字钢</w:t>
            </w:r>
          </w:p>
        </w:tc>
        <w:tc>
          <w:tcPr>
            <w:tcW w:w="1905" w:type="dxa"/>
            <w:vAlign w:val="center"/>
          </w:tcPr>
          <w:p>
            <w:pPr>
              <w:keepNext w:val="0"/>
              <w:keepLines w:val="0"/>
              <w:widowControl/>
              <w:suppressLineNumbers w:val="0"/>
              <w:ind w:firstLine="400" w:firstLineChars="20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14</w:t>
            </w:r>
          </w:p>
        </w:tc>
        <w:tc>
          <w:tcPr>
            <w:tcW w:w="1095" w:type="dxa"/>
            <w:vAlign w:val="center"/>
          </w:tcPr>
          <w:p>
            <w:pPr>
              <w:keepNext w:val="0"/>
              <w:keepLines w:val="0"/>
              <w:widowControl/>
              <w:suppressLineNumbers w:val="0"/>
              <w:jc w:val="both"/>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56</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山西晋南网价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钢板</w:t>
            </w:r>
          </w:p>
        </w:tc>
        <w:tc>
          <w:tcPr>
            <w:tcW w:w="190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10mm（Q235B）</w:t>
            </w:r>
          </w:p>
        </w:tc>
        <w:tc>
          <w:tcPr>
            <w:tcW w:w="1095" w:type="dxa"/>
            <w:vAlign w:val="center"/>
          </w:tcPr>
          <w:p>
            <w:pPr>
              <w:keepNext w:val="0"/>
              <w:keepLines w:val="0"/>
              <w:widowControl/>
              <w:suppressLineNumbers w:val="0"/>
              <w:ind w:firstLine="400" w:firstLineChars="200"/>
              <w:jc w:val="both"/>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30</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钢板</w:t>
            </w:r>
          </w:p>
        </w:tc>
        <w:tc>
          <w:tcPr>
            <w:tcW w:w="190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14mm（Q235B）</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710</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钢板</w:t>
            </w:r>
          </w:p>
        </w:tc>
        <w:tc>
          <w:tcPr>
            <w:tcW w:w="190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16mm（Q235B）</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1047</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钢板</w:t>
            </w:r>
          </w:p>
        </w:tc>
        <w:tc>
          <w:tcPr>
            <w:tcW w:w="190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30mm（Q235B）</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360</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无缝钢管</w:t>
            </w:r>
          </w:p>
        </w:tc>
        <w:tc>
          <w:tcPr>
            <w:tcW w:w="190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φ108*6热轧无缝</w:t>
            </w:r>
          </w:p>
        </w:tc>
        <w:tc>
          <w:tcPr>
            <w:tcW w:w="1095" w:type="dxa"/>
            <w:vAlign w:val="center"/>
          </w:tcPr>
          <w:p>
            <w:pPr>
              <w:keepNext w:val="0"/>
              <w:keepLines w:val="0"/>
              <w:widowControl/>
              <w:suppressLineNumbers w:val="0"/>
              <w:ind w:firstLine="400" w:firstLineChars="200"/>
              <w:jc w:val="both"/>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44</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无缝钢管</w:t>
            </w:r>
          </w:p>
        </w:tc>
        <w:tc>
          <w:tcPr>
            <w:tcW w:w="190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φ102*6热轧无缝</w:t>
            </w:r>
          </w:p>
        </w:tc>
        <w:tc>
          <w:tcPr>
            <w:tcW w:w="1095" w:type="dxa"/>
            <w:vAlign w:val="center"/>
          </w:tcPr>
          <w:p>
            <w:pPr>
              <w:keepNext w:val="0"/>
              <w:keepLines w:val="0"/>
              <w:widowControl/>
              <w:suppressLineNumbers w:val="0"/>
              <w:ind w:firstLine="400" w:firstLineChars="200"/>
              <w:jc w:val="both"/>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无缝钢管</w:t>
            </w:r>
          </w:p>
        </w:tc>
        <w:tc>
          <w:tcPr>
            <w:tcW w:w="190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φ140*8热轧无缝</w:t>
            </w:r>
          </w:p>
        </w:tc>
        <w:tc>
          <w:tcPr>
            <w:tcW w:w="1095" w:type="dxa"/>
            <w:vAlign w:val="center"/>
          </w:tcPr>
          <w:p>
            <w:pPr>
              <w:keepNext w:val="0"/>
              <w:keepLines w:val="0"/>
              <w:widowControl/>
              <w:suppressLineNumbers w:val="0"/>
              <w:ind w:firstLine="400" w:firstLineChars="200"/>
              <w:jc w:val="both"/>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8</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角钢</w:t>
            </w:r>
          </w:p>
        </w:tc>
        <w:tc>
          <w:tcPr>
            <w:tcW w:w="1905" w:type="dxa"/>
            <w:vAlign w:val="center"/>
          </w:tcPr>
          <w:p>
            <w:pPr>
              <w:keepNext w:val="0"/>
              <w:keepLines w:val="0"/>
              <w:widowControl/>
              <w:suppressLineNumbers w:val="0"/>
              <w:ind w:firstLine="400" w:firstLineChars="20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50*32*3</w:t>
            </w:r>
          </w:p>
        </w:tc>
        <w:tc>
          <w:tcPr>
            <w:tcW w:w="1095" w:type="dxa"/>
            <w:vAlign w:val="center"/>
          </w:tcPr>
          <w:p>
            <w:pPr>
              <w:keepNext w:val="0"/>
              <w:keepLines w:val="0"/>
              <w:widowControl/>
              <w:suppressLineNumbers w:val="0"/>
              <w:ind w:firstLine="400" w:firstLineChars="200"/>
              <w:jc w:val="both"/>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角钢</w:t>
            </w:r>
          </w:p>
        </w:tc>
        <w:tc>
          <w:tcPr>
            <w:tcW w:w="1905" w:type="dxa"/>
            <w:vAlign w:val="center"/>
          </w:tcPr>
          <w:p>
            <w:pPr>
              <w:keepNext w:val="0"/>
              <w:keepLines w:val="0"/>
              <w:widowControl/>
              <w:suppressLineNumbers w:val="0"/>
              <w:ind w:firstLine="400" w:firstLineChars="20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100*100*8</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580</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987"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93"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firstLine="400" w:firstLineChars="20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角钢</w:t>
            </w:r>
          </w:p>
        </w:tc>
        <w:tc>
          <w:tcPr>
            <w:tcW w:w="1905" w:type="dxa"/>
            <w:vAlign w:val="center"/>
          </w:tcPr>
          <w:p>
            <w:pPr>
              <w:keepNext w:val="0"/>
              <w:keepLines w:val="0"/>
              <w:widowControl/>
              <w:suppressLineNumbers w:val="0"/>
              <w:ind w:firstLine="400" w:firstLineChars="20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75*75*7</w:t>
            </w:r>
          </w:p>
        </w:tc>
        <w:tc>
          <w:tcPr>
            <w:tcW w:w="1095" w:type="dxa"/>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kern w:val="2"/>
                <w:sz w:val="20"/>
                <w:szCs w:val="20"/>
                <w:lang w:val="en-US" w:eastAsia="zh-CN" w:bidi="ar-SA"/>
              </w:rPr>
            </w:pPr>
            <w:r>
              <w:rPr>
                <w:rFonts w:hint="eastAsia" w:ascii="仿宋" w:hAnsi="仿宋" w:eastAsia="仿宋" w:cs="仿宋"/>
                <w:i w:val="0"/>
                <w:iCs w:val="0"/>
                <w:color w:val="000000"/>
                <w:kern w:val="0"/>
                <w:sz w:val="20"/>
                <w:szCs w:val="20"/>
                <w:u w:val="none"/>
                <w:lang w:val="en-US" w:eastAsia="zh-CN" w:bidi="ar"/>
              </w:rPr>
              <w:t>736</w:t>
            </w:r>
          </w:p>
        </w:tc>
        <w:tc>
          <w:tcPr>
            <w:tcW w:w="990" w:type="dxa"/>
            <w:vMerge w:val="continue"/>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280" w:type="dxa"/>
            <w:gridSpan w:val="2"/>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b w:val="0"/>
                <w:bCs w:val="0"/>
                <w:i w:val="0"/>
                <w:iCs w:val="0"/>
                <w:color w:val="000000"/>
                <w:kern w:val="0"/>
                <w:sz w:val="21"/>
                <w:szCs w:val="21"/>
                <w:highlight w:val="none"/>
                <w:u w:val="none"/>
                <w:lang w:val="en-US" w:eastAsia="zh-CN" w:bidi="ar"/>
              </w:rPr>
              <w:t>合计</w:t>
            </w:r>
          </w:p>
        </w:tc>
        <w:tc>
          <w:tcPr>
            <w:tcW w:w="1210"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90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firstLine="0" w:firstLineChars="0"/>
              <w:jc w:val="center"/>
              <w:textAlignment w:val="center"/>
              <w:rPr>
                <w:rFonts w:hint="default" w:ascii="仿宋" w:hAnsi="仿宋" w:eastAsia="仿宋" w:cs="仿宋"/>
                <w:b w:val="0"/>
                <w:bCs w:val="0"/>
                <w:i w:val="0"/>
                <w:iCs w:val="0"/>
                <w:color w:val="000000"/>
                <w:kern w:val="0"/>
                <w:sz w:val="21"/>
                <w:szCs w:val="21"/>
                <w:highlight w:val="none"/>
                <w:u w:val="none"/>
                <w:lang w:val="en-US" w:eastAsia="zh-CN" w:bidi="ar"/>
              </w:rPr>
            </w:pPr>
            <w:r>
              <w:rPr>
                <w:rFonts w:hint="eastAsia" w:ascii="仿宋" w:hAnsi="仿宋" w:eastAsia="仿宋" w:cs="仿宋"/>
                <w:sz w:val="20"/>
                <w:szCs w:val="20"/>
                <w:lang w:val="en-US" w:eastAsia="zh-CN"/>
              </w:rPr>
              <w:t>10724.00</w:t>
            </w:r>
          </w:p>
        </w:tc>
        <w:tc>
          <w:tcPr>
            <w:tcW w:w="990" w:type="dxa"/>
            <w:vAlign w:val="center"/>
          </w:tcPr>
          <w:p>
            <w:pPr>
              <w:keepNext w:val="0"/>
              <w:keepLines w:val="0"/>
              <w:widowControl/>
              <w:suppressLineNumbers w:val="0"/>
              <w:ind w:left="0" w:leftChars="0" w:firstLine="0" w:firstLineChars="0"/>
              <w:jc w:val="center"/>
              <w:textAlignment w:val="center"/>
              <w:rPr>
                <w:rFonts w:hint="default" w:ascii="仿宋" w:hAnsi="仿宋" w:eastAsia="仿宋" w:cs="仿宋"/>
                <w:kern w:val="2"/>
                <w:sz w:val="20"/>
                <w:szCs w:val="20"/>
                <w:lang w:val="en-US" w:eastAsia="zh-CN" w:bidi="ar-SA"/>
              </w:rPr>
            </w:pPr>
          </w:p>
        </w:tc>
        <w:tc>
          <w:tcPr>
            <w:tcW w:w="1065"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230"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1381" w:type="dxa"/>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c>
          <w:tcPr>
            <w:tcW w:w="2595" w:type="dxa"/>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0" w:firstLineChars="0"/>
              <w:jc w:val="center"/>
              <w:textAlignment w:val="center"/>
              <w:rPr>
                <w:rFonts w:hint="eastAsia" w:ascii="仿宋" w:hAnsi="仿宋" w:eastAsia="仿宋" w:cs="仿宋"/>
                <w:b w:val="0"/>
                <w:bCs w:val="0"/>
                <w:i w:val="0"/>
                <w:iCs w:val="0"/>
                <w:color w:val="000000"/>
                <w:kern w:val="0"/>
                <w:sz w:val="21"/>
                <w:szCs w:val="21"/>
                <w:highlight w:val="none"/>
                <w:u w:val="none"/>
                <w:lang w:val="en-US" w:eastAsia="zh-CN" w:bidi="ar"/>
              </w:rPr>
            </w:pPr>
          </w:p>
        </w:tc>
      </w:tr>
    </w:tbl>
    <w:p>
      <w:pPr>
        <w:pStyle w:val="2"/>
        <w:ind w:left="0" w:leftChars="0" w:firstLine="0" w:firstLineChars="0"/>
        <w:rPr>
          <w:rFonts w:hint="eastAsia"/>
          <w:lang w:val="en-US" w:eastAsia="zh-CN"/>
        </w:rPr>
      </w:pPr>
    </w:p>
    <w:p>
      <w:pPr>
        <w:pStyle w:val="13"/>
        <w:keepNext w:val="0"/>
        <w:keepLines w:val="0"/>
        <w:pageBreakBefore w:val="0"/>
        <w:widowControl w:val="0"/>
        <w:kinsoku/>
        <w:wordWrap/>
        <w:overflowPunct/>
        <w:topLinePunct w:val="0"/>
        <w:autoSpaceDE/>
        <w:autoSpaceDN/>
        <w:bidi w:val="0"/>
        <w:adjustRightInd w:val="0"/>
        <w:snapToGrid/>
        <w:spacing w:line="500" w:lineRule="exact"/>
        <w:ind w:left="0"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 w:hAnsi="仿宋" w:eastAsia="仿宋" w:cs="仿宋"/>
          <w:i w:val="0"/>
          <w:iCs w:val="0"/>
          <w:color w:val="000000"/>
          <w:sz w:val="28"/>
          <w:szCs w:val="28"/>
          <w:highlight w:val="none"/>
          <w:u w:val="none"/>
          <w:lang w:val="en-US" w:eastAsia="zh-CN"/>
        </w:rPr>
        <w:t>说明：</w:t>
      </w:r>
      <w:r>
        <w:rPr>
          <w:rFonts w:hint="eastAsia" w:ascii="仿宋_GB2312" w:hAnsi="仿宋_GB2312" w:eastAsia="仿宋_GB2312" w:cs="仿宋_GB2312"/>
          <w:sz w:val="28"/>
          <w:szCs w:val="28"/>
          <w:highlight w:val="none"/>
          <w:lang w:val="en-US" w:eastAsia="zh-CN"/>
        </w:rPr>
        <w:t>1.结算价=基准价+固定费用。</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400" w:firstLineChars="500"/>
        <w:jc w:val="both"/>
        <w:outlineLvl w:val="9"/>
        <w:rPr>
          <w:rFonts w:hint="eastAsia" w:ascii="仿宋" w:hAnsi="仿宋" w:eastAsia="仿宋" w:cs="仿宋"/>
          <w:i w:val="0"/>
          <w:iCs w:val="0"/>
          <w:color w:val="000000"/>
          <w:kern w:val="2"/>
          <w:sz w:val="28"/>
          <w:szCs w:val="28"/>
          <w:highlight w:val="none"/>
          <w:u w:val="none"/>
          <w:lang w:val="en-US" w:eastAsia="zh-CN" w:bidi="ar-SA"/>
        </w:rPr>
      </w:pPr>
      <w:r>
        <w:rPr>
          <w:rFonts w:hint="eastAsia" w:ascii="仿宋_GB2312" w:hAnsi="仿宋_GB2312" w:eastAsia="仿宋_GB2312" w:cs="仿宋_GB2312"/>
          <w:kern w:val="0"/>
          <w:sz w:val="28"/>
          <w:szCs w:val="28"/>
          <w:highlight w:val="none"/>
          <w:lang w:val="en-US" w:eastAsia="zh-CN"/>
        </w:rPr>
        <w:t>2.</w:t>
      </w:r>
      <w:r>
        <w:rPr>
          <w:rFonts w:hint="default" w:ascii="仿宋" w:hAnsi="仿宋" w:eastAsia="仿宋" w:cs="仿宋"/>
          <w:i w:val="0"/>
          <w:iCs w:val="0"/>
          <w:color w:val="000000"/>
          <w:kern w:val="2"/>
          <w:sz w:val="28"/>
          <w:szCs w:val="28"/>
          <w:highlight w:val="none"/>
          <w:u w:val="none"/>
          <w:lang w:val="en-US" w:eastAsia="zh-CN" w:bidi="ar-SA"/>
        </w:rPr>
        <w:t>达州绕城高速西段</w:t>
      </w:r>
      <w:r>
        <w:rPr>
          <w:rFonts w:hint="eastAsia" w:ascii="仿宋" w:hAnsi="仿宋" w:eastAsia="仿宋" w:cs="仿宋"/>
          <w:i w:val="0"/>
          <w:iCs w:val="0"/>
          <w:color w:val="000000"/>
          <w:kern w:val="2"/>
          <w:sz w:val="28"/>
          <w:szCs w:val="28"/>
          <w:highlight w:val="none"/>
          <w:u w:val="none"/>
          <w:lang w:val="en-US" w:eastAsia="zh-CN" w:bidi="ar-SA"/>
        </w:rPr>
        <w:t>RX2</w:t>
      </w:r>
      <w:r>
        <w:rPr>
          <w:rFonts w:hint="default" w:ascii="仿宋" w:hAnsi="仿宋" w:eastAsia="仿宋" w:cs="仿宋"/>
          <w:i w:val="0"/>
          <w:iCs w:val="0"/>
          <w:color w:val="000000"/>
          <w:kern w:val="2"/>
          <w:sz w:val="28"/>
          <w:szCs w:val="28"/>
          <w:highlight w:val="none"/>
          <w:u w:val="none"/>
          <w:lang w:val="en-US" w:eastAsia="zh-CN" w:bidi="ar-SA"/>
        </w:rPr>
        <w:t>项目</w:t>
      </w:r>
      <w:r>
        <w:rPr>
          <w:rFonts w:hint="eastAsia" w:ascii="仿宋" w:hAnsi="仿宋" w:eastAsia="仿宋" w:cs="仿宋"/>
          <w:i w:val="0"/>
          <w:iCs w:val="0"/>
          <w:color w:val="000000"/>
          <w:kern w:val="2"/>
          <w:sz w:val="28"/>
          <w:szCs w:val="28"/>
          <w:highlight w:val="none"/>
          <w:u w:val="none"/>
          <w:lang w:val="en-US" w:eastAsia="zh-CN" w:bidi="ar-SA"/>
        </w:rPr>
        <w:t>基准价：在到货当日“我的钢铁网”成都区域价格行情中达钢对应的钢筋网价、昆钢、日照对应的工字钢网价、传洋对应的角钢网价、唐山欧联、日照对应的槽钢网价、兴华、马钢对应的H型钢网价、重钢、攀钢对应的板材网价、华岐对应的焊管网价、攀成钢对应的流体管网价、四川振鸿对应的镀锌管网价（备注栏有特别说明的以备注栏价格结算）。如到货当日网上有多次价格公布，则以当日公布价格平均价为准，如到货当日是节假日网上未公布价格，则按前一天有网上公布价格为准。如所送钢材无相同厂家对应规格网价时，指定以对应型号钢筋、型材、板材或管材各厂家中最低报价作为参考网价；无网价的圆钢以对应规格螺纹钢网价为基准。</w:t>
      </w:r>
    </w:p>
    <w:p>
      <w:pPr>
        <w:pStyle w:val="7"/>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1400" w:firstLineChars="500"/>
        <w:jc w:val="both"/>
        <w:outlineLvl w:val="9"/>
        <w:rPr>
          <w:rFonts w:hint="default" w:ascii="仿宋" w:hAnsi="仿宋" w:eastAsia="仿宋" w:cs="仿宋"/>
          <w:i w:val="0"/>
          <w:iCs w:val="0"/>
          <w:color w:val="000000"/>
          <w:kern w:val="2"/>
          <w:sz w:val="28"/>
          <w:szCs w:val="28"/>
          <w:highlight w:val="none"/>
          <w:u w:val="none"/>
          <w:lang w:val="en-US" w:eastAsia="zh-CN" w:bidi="ar-SA"/>
        </w:rPr>
      </w:pPr>
      <w:r>
        <w:rPr>
          <w:rFonts w:hint="eastAsia" w:ascii="仿宋" w:hAnsi="仿宋" w:eastAsia="仿宋" w:cs="仿宋"/>
          <w:i w:val="0"/>
          <w:iCs w:val="0"/>
          <w:color w:val="000000"/>
          <w:kern w:val="2"/>
          <w:sz w:val="28"/>
          <w:szCs w:val="28"/>
          <w:highlight w:val="none"/>
          <w:u w:val="none"/>
          <w:lang w:val="en-US" w:eastAsia="zh-CN" w:bidi="ar-SA"/>
        </w:rPr>
        <w:t>3、</w:t>
      </w:r>
      <w:r>
        <w:rPr>
          <w:rFonts w:hint="default" w:ascii="仿宋" w:hAnsi="仿宋" w:eastAsia="仿宋" w:cs="仿宋"/>
          <w:i w:val="0"/>
          <w:iCs w:val="0"/>
          <w:color w:val="000000"/>
          <w:kern w:val="2"/>
          <w:sz w:val="28"/>
          <w:szCs w:val="28"/>
          <w:highlight w:val="none"/>
          <w:u w:val="none"/>
          <w:lang w:val="en-US" w:eastAsia="zh-CN" w:bidi="ar-SA"/>
        </w:rPr>
        <w:t>达州绕城高速西段RX1项目</w:t>
      </w:r>
      <w:r>
        <w:rPr>
          <w:rFonts w:hint="eastAsia" w:ascii="仿宋" w:hAnsi="仿宋" w:eastAsia="仿宋" w:cs="仿宋"/>
          <w:i w:val="0"/>
          <w:iCs w:val="0"/>
          <w:color w:val="000000"/>
          <w:kern w:val="2"/>
          <w:sz w:val="28"/>
          <w:szCs w:val="28"/>
          <w:highlight w:val="none"/>
          <w:u w:val="none"/>
          <w:lang w:val="en-US" w:eastAsia="zh-CN" w:bidi="ar-SA"/>
        </w:rPr>
        <w:t>基准价</w:t>
      </w:r>
      <w:r>
        <w:rPr>
          <w:rFonts w:hint="default" w:ascii="仿宋" w:hAnsi="仿宋" w:eastAsia="仿宋" w:cs="仿宋"/>
          <w:i w:val="0"/>
          <w:iCs w:val="0"/>
          <w:color w:val="000000"/>
          <w:kern w:val="2"/>
          <w:sz w:val="28"/>
          <w:szCs w:val="28"/>
          <w:highlight w:val="none"/>
          <w:u w:val="none"/>
          <w:lang w:val="en-US" w:eastAsia="zh-CN" w:bidi="ar-SA"/>
        </w:rPr>
        <w:t>：</w:t>
      </w:r>
      <w:r>
        <w:rPr>
          <w:rFonts w:hint="eastAsia" w:ascii="仿宋" w:hAnsi="仿宋" w:eastAsia="仿宋" w:cs="仿宋"/>
          <w:i w:val="0"/>
          <w:iCs w:val="0"/>
          <w:color w:val="000000"/>
          <w:kern w:val="2"/>
          <w:sz w:val="28"/>
          <w:szCs w:val="28"/>
          <w:highlight w:val="none"/>
          <w:u w:val="none"/>
          <w:lang w:val="en-US" w:eastAsia="zh-CN" w:bidi="ar-SA"/>
        </w:rPr>
        <w:t>为到货日“我的钢铁网”（https://www.mysteel.com/）发布的“成都”市场相对应规格型号的价格；</w:t>
      </w:r>
      <w:r>
        <w:rPr>
          <w:rFonts w:hint="default" w:ascii="仿宋" w:hAnsi="仿宋" w:eastAsia="仿宋" w:cs="仿宋"/>
          <w:i w:val="0"/>
          <w:iCs w:val="0"/>
          <w:color w:val="000000"/>
          <w:kern w:val="2"/>
          <w:sz w:val="28"/>
          <w:szCs w:val="28"/>
          <w:highlight w:val="none"/>
          <w:u w:val="none"/>
          <w:lang w:val="en-US" w:eastAsia="zh-CN" w:bidi="ar-SA"/>
        </w:rPr>
        <w:t>工字钢</w:t>
      </w:r>
      <w:r>
        <w:rPr>
          <w:rFonts w:hint="eastAsia" w:ascii="仿宋" w:hAnsi="仿宋" w:eastAsia="仿宋" w:cs="仿宋"/>
          <w:i w:val="0"/>
          <w:iCs w:val="0"/>
          <w:color w:val="000000"/>
          <w:kern w:val="2"/>
          <w:sz w:val="28"/>
          <w:szCs w:val="28"/>
          <w:highlight w:val="none"/>
          <w:u w:val="none"/>
          <w:lang w:val="en-US" w:eastAsia="zh-CN" w:bidi="ar-SA"/>
        </w:rPr>
        <w:t>：</w:t>
      </w:r>
      <w:r>
        <w:rPr>
          <w:rFonts w:hint="default" w:ascii="仿宋" w:hAnsi="仿宋" w:eastAsia="仿宋" w:cs="仿宋"/>
          <w:i w:val="0"/>
          <w:iCs w:val="0"/>
          <w:color w:val="000000"/>
          <w:kern w:val="2"/>
          <w:sz w:val="28"/>
          <w:szCs w:val="28"/>
          <w:highlight w:val="none"/>
          <w:u w:val="none"/>
          <w:lang w:val="en-US" w:eastAsia="zh-CN" w:bidi="ar-SA"/>
        </w:rPr>
        <w:t>14</w:t>
      </w:r>
      <w:r>
        <w:rPr>
          <w:rFonts w:hint="eastAsia" w:ascii="仿宋" w:hAnsi="仿宋" w:eastAsia="仿宋" w:cs="仿宋"/>
          <w:i w:val="0"/>
          <w:iCs w:val="0"/>
          <w:color w:val="000000"/>
          <w:kern w:val="2"/>
          <w:sz w:val="28"/>
          <w:szCs w:val="28"/>
          <w:highlight w:val="none"/>
          <w:u w:val="none"/>
          <w:lang w:val="en-US" w:eastAsia="zh-CN" w:bidi="ar-SA"/>
        </w:rPr>
        <w:t>、16</w:t>
      </w:r>
      <w:r>
        <w:rPr>
          <w:rFonts w:hint="default" w:ascii="仿宋" w:hAnsi="仿宋" w:eastAsia="仿宋" w:cs="仿宋"/>
          <w:i w:val="0"/>
          <w:iCs w:val="0"/>
          <w:color w:val="000000"/>
          <w:kern w:val="2"/>
          <w:sz w:val="28"/>
          <w:szCs w:val="28"/>
          <w:highlight w:val="none"/>
          <w:u w:val="none"/>
          <w:lang w:val="en-US" w:eastAsia="zh-CN" w:bidi="ar-SA"/>
        </w:rPr>
        <w:t>对应山西晋南网价</w:t>
      </w:r>
      <w:r>
        <w:rPr>
          <w:rFonts w:hint="eastAsia" w:ascii="仿宋" w:hAnsi="仿宋" w:eastAsia="仿宋" w:cs="仿宋"/>
          <w:i w:val="0"/>
          <w:iCs w:val="0"/>
          <w:color w:val="000000"/>
          <w:kern w:val="2"/>
          <w:sz w:val="28"/>
          <w:szCs w:val="28"/>
          <w:highlight w:val="none"/>
          <w:u w:val="none"/>
          <w:lang w:val="en-US" w:eastAsia="zh-CN" w:bidi="ar-SA"/>
        </w:rPr>
        <w:t>、</w:t>
      </w:r>
      <w:r>
        <w:rPr>
          <w:rFonts w:hint="default" w:ascii="仿宋" w:hAnsi="仿宋" w:eastAsia="仿宋" w:cs="仿宋"/>
          <w:i w:val="0"/>
          <w:iCs w:val="0"/>
          <w:color w:val="000000"/>
          <w:kern w:val="2"/>
          <w:sz w:val="28"/>
          <w:szCs w:val="28"/>
          <w:highlight w:val="none"/>
          <w:u w:val="none"/>
          <w:lang w:val="en-US" w:eastAsia="zh-CN" w:bidi="ar-SA"/>
        </w:rPr>
        <w:t>18、20对应昆钢网价</w:t>
      </w:r>
      <w:r>
        <w:rPr>
          <w:rFonts w:hint="eastAsia" w:ascii="仿宋" w:hAnsi="仿宋" w:eastAsia="仿宋" w:cs="仿宋"/>
          <w:i w:val="0"/>
          <w:iCs w:val="0"/>
          <w:color w:val="000000"/>
          <w:kern w:val="2"/>
          <w:sz w:val="28"/>
          <w:szCs w:val="28"/>
          <w:highlight w:val="none"/>
          <w:u w:val="none"/>
          <w:lang w:val="en-US" w:eastAsia="zh-CN" w:bidi="ar-SA"/>
        </w:rPr>
        <w:t>；</w:t>
      </w:r>
      <w:r>
        <w:rPr>
          <w:rFonts w:hint="default" w:ascii="仿宋" w:hAnsi="仿宋" w:eastAsia="仿宋" w:cs="仿宋"/>
          <w:i w:val="0"/>
          <w:iCs w:val="0"/>
          <w:color w:val="000000"/>
          <w:kern w:val="2"/>
          <w:sz w:val="28"/>
          <w:szCs w:val="28"/>
          <w:highlight w:val="none"/>
          <w:u w:val="none"/>
          <w:lang w:val="en-US" w:eastAsia="zh-CN" w:bidi="ar-SA"/>
        </w:rPr>
        <w:t>钢板对应重钢</w:t>
      </w:r>
      <w:r>
        <w:rPr>
          <w:rFonts w:hint="eastAsia" w:ascii="仿宋" w:hAnsi="仿宋" w:eastAsia="仿宋" w:cs="仿宋"/>
          <w:i w:val="0"/>
          <w:iCs w:val="0"/>
          <w:color w:val="000000"/>
          <w:kern w:val="2"/>
          <w:sz w:val="28"/>
          <w:szCs w:val="28"/>
          <w:highlight w:val="none"/>
          <w:u w:val="none"/>
          <w:lang w:val="en-US" w:eastAsia="zh-CN" w:bidi="ar-SA"/>
        </w:rPr>
        <w:t>同规格</w:t>
      </w:r>
      <w:r>
        <w:rPr>
          <w:rFonts w:hint="default" w:ascii="仿宋" w:hAnsi="仿宋" w:eastAsia="仿宋" w:cs="仿宋"/>
          <w:i w:val="0"/>
          <w:iCs w:val="0"/>
          <w:color w:val="000000"/>
          <w:kern w:val="2"/>
          <w:sz w:val="28"/>
          <w:szCs w:val="28"/>
          <w:highlight w:val="none"/>
          <w:u w:val="none"/>
          <w:lang w:val="en-US" w:eastAsia="zh-CN" w:bidi="ar-SA"/>
        </w:rPr>
        <w:t>网价，无缝钢管102*6</w:t>
      </w:r>
      <w:r>
        <w:rPr>
          <w:rFonts w:hint="eastAsia" w:ascii="仿宋" w:hAnsi="仿宋" w:eastAsia="仿宋" w:cs="仿宋"/>
          <w:i w:val="0"/>
          <w:iCs w:val="0"/>
          <w:color w:val="000000"/>
          <w:kern w:val="2"/>
          <w:sz w:val="28"/>
          <w:szCs w:val="28"/>
          <w:highlight w:val="none"/>
          <w:u w:val="none"/>
          <w:lang w:val="en-US" w:eastAsia="zh-CN" w:bidi="ar-SA"/>
        </w:rPr>
        <w:t>对应108*6网价，</w:t>
      </w:r>
      <w:r>
        <w:rPr>
          <w:rFonts w:hint="default" w:ascii="仿宋" w:hAnsi="仿宋" w:eastAsia="仿宋" w:cs="仿宋"/>
          <w:i w:val="0"/>
          <w:iCs w:val="0"/>
          <w:color w:val="000000"/>
          <w:kern w:val="2"/>
          <w:sz w:val="28"/>
          <w:szCs w:val="28"/>
          <w:highlight w:val="none"/>
          <w:u w:val="none"/>
          <w:lang w:val="en-US" w:eastAsia="zh-CN" w:bidi="ar-SA"/>
        </w:rPr>
        <w:t>108*6对应中宝管业网价，140*8对应临沂金正阳133*5网价，角钢50*32*3对应安钢50*50*5的网价，100*100*8对应安钢100*100*10的网价，75*75*7对应安钢75*75*8的网价。如一天有多次网价，取当天最低价，如有备注，看备注。</w:t>
      </w:r>
      <w:r>
        <w:rPr>
          <w:rFonts w:hint="eastAsia" w:ascii="仿宋" w:hAnsi="仿宋" w:eastAsia="仿宋" w:cs="仿宋"/>
          <w:i w:val="0"/>
          <w:iCs w:val="0"/>
          <w:color w:val="000000"/>
          <w:kern w:val="2"/>
          <w:sz w:val="28"/>
          <w:szCs w:val="28"/>
          <w:highlight w:val="none"/>
          <w:u w:val="none"/>
          <w:lang w:val="en-US" w:eastAsia="zh-CN" w:bidi="ar-SA"/>
        </w:rPr>
        <w:t xml:space="preserve">节假日无网价的，参照前一工作日网价。为方便计算总额含税基准价4500为暂定价格。 </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840" w:firstLineChars="300"/>
        <w:jc w:val="left"/>
        <w:textAlignment w:val="center"/>
        <w:rPr>
          <w:rFonts w:hint="eastAsia" w:ascii="仿宋" w:hAnsi="仿宋" w:eastAsia="仿宋" w:cs="仿宋"/>
          <w:b w:val="0"/>
          <w:bCs w:val="0"/>
          <w:i w:val="0"/>
          <w:iCs w:val="0"/>
          <w:color w:val="000000"/>
          <w:kern w:val="0"/>
          <w:sz w:val="28"/>
          <w:szCs w:val="28"/>
          <w:highlight w:val="none"/>
          <w:u w:val="none"/>
          <w:lang w:val="en-US" w:eastAsia="zh-CN" w:bidi="ar"/>
        </w:rPr>
      </w:pPr>
      <w:r>
        <w:rPr>
          <w:rFonts w:hint="eastAsia" w:ascii="仿宋" w:hAnsi="仿宋" w:eastAsia="仿宋" w:cs="仿宋"/>
          <w:i w:val="0"/>
          <w:iCs w:val="0"/>
          <w:color w:val="000000"/>
          <w:sz w:val="28"/>
          <w:szCs w:val="28"/>
          <w:highlight w:val="none"/>
          <w:u w:val="none"/>
          <w:lang w:val="en-US" w:eastAsia="zh-CN"/>
        </w:rPr>
        <w:t>4、报价表中“固定费用”报价格式为+x元/吨，或-x元/吨，四舍五入保留两位数。</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firstLine="840" w:firstLineChars="300"/>
        <w:jc w:val="left"/>
        <w:textAlignment w:val="center"/>
        <w:rPr>
          <w:rFonts w:hint="eastAsia" w:ascii="仿宋" w:hAnsi="仿宋" w:eastAsia="仿宋" w:cs="仿宋"/>
          <w:i w:val="0"/>
          <w:iCs w:val="0"/>
          <w:color w:val="000000"/>
          <w:sz w:val="28"/>
          <w:szCs w:val="28"/>
          <w:highlight w:val="none"/>
          <w:u w:val="none"/>
          <w:lang w:val="en-US" w:eastAsia="zh-CN"/>
        </w:rPr>
      </w:pPr>
    </w:p>
    <w:p>
      <w:pPr>
        <w:spacing w:line="480" w:lineRule="auto"/>
        <w:ind w:left="0" w:leftChars="0" w:firstLine="0" w:firstLineChars="0"/>
        <w:jc w:val="both"/>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申请人名称 (盖章)：         </w:t>
      </w:r>
    </w:p>
    <w:p>
      <w:pPr>
        <w:spacing w:line="480" w:lineRule="auto"/>
        <w:ind w:left="0" w:leftChars="0" w:firstLine="0" w:firstLineChars="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法定代表人或授权代理人(签字)：             </w:t>
      </w:r>
    </w:p>
    <w:p>
      <w:pPr>
        <w:spacing w:line="480" w:lineRule="auto"/>
        <w:ind w:left="0" w:leftChars="0" w:firstLine="0" w:firstLineChars="0"/>
        <w:jc w:val="center"/>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 xml:space="preserve">     日期:</w:t>
      </w:r>
    </w:p>
    <w:p>
      <w:pPr>
        <w:pStyle w:val="2"/>
        <w:rPr>
          <w:rFonts w:hint="eastAsia" w:ascii="仿宋" w:hAnsi="仿宋" w:eastAsia="仿宋" w:cs="仿宋"/>
          <w:kern w:val="2"/>
          <w:sz w:val="28"/>
          <w:szCs w:val="28"/>
          <w:highlight w:val="none"/>
          <w:lang w:val="en-US" w:eastAsia="zh-CN" w:bidi="ar-SA"/>
        </w:rPr>
      </w:pPr>
    </w:p>
    <w:p>
      <w:pPr>
        <w:rPr>
          <w:rFonts w:hint="eastAsia" w:ascii="仿宋" w:hAnsi="仿宋" w:eastAsia="仿宋" w:cs="仿宋"/>
          <w:kern w:val="2"/>
          <w:sz w:val="28"/>
          <w:szCs w:val="28"/>
          <w:highlight w:val="none"/>
          <w:lang w:val="en-US" w:eastAsia="zh-CN" w:bidi="ar-SA"/>
        </w:rPr>
      </w:pPr>
    </w:p>
    <w:p>
      <w:pPr>
        <w:pStyle w:val="2"/>
        <w:rPr>
          <w:rFonts w:hint="eastAsia" w:ascii="仿宋" w:hAnsi="仿宋" w:eastAsia="仿宋" w:cs="仿宋"/>
          <w:kern w:val="2"/>
          <w:sz w:val="28"/>
          <w:szCs w:val="28"/>
          <w:highlight w:val="none"/>
          <w:lang w:val="en-US" w:eastAsia="zh-CN" w:bidi="ar-SA"/>
        </w:rPr>
      </w:pPr>
    </w:p>
    <w:p>
      <w:pPr>
        <w:tabs>
          <w:tab w:val="left" w:pos="2512"/>
        </w:tabs>
        <w:bidi w:val="0"/>
        <w:ind w:left="0" w:leftChars="0" w:firstLine="0" w:firstLineChars="0"/>
        <w:jc w:val="left"/>
        <w:rPr>
          <w:rFonts w:hint="default"/>
          <w:lang w:val="en-US" w:eastAsia="zh-CN"/>
        </w:rPr>
      </w:pPr>
    </w:p>
    <w:sectPr>
      <w:pgSz w:w="16838" w:h="11905" w:orient="landscape"/>
      <w:pgMar w:top="1083" w:right="1440" w:bottom="1083" w:left="1440" w:header="850" w:footer="992" w:gutter="0"/>
      <w:cols w:space="0" w:num="1"/>
      <w:rtlGutter w:val="0"/>
      <w:docGrid w:type="lines" w:linePitch="44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AD209F-4970-4FB6-B493-29959BEB5D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F35F2D75-2860-46D0-A9F4-9714E4F9F454}"/>
  </w:font>
  <w:font w:name="仿宋_GB2312">
    <w:panose1 w:val="02010609030101010101"/>
    <w:charset w:val="86"/>
    <w:family w:val="auto"/>
    <w:pitch w:val="default"/>
    <w:sig w:usb0="00000001" w:usb1="080E0000" w:usb2="00000000" w:usb3="00000000" w:csb0="00040000" w:csb1="00000000"/>
    <w:embedRegular r:id="rId3" w:fontKey="{1A31266D-96BC-482B-9850-399E71763DCD}"/>
  </w:font>
  <w:font w:name="楷体_GB2312">
    <w:panose1 w:val="02010609030101010101"/>
    <w:charset w:val="86"/>
    <w:family w:val="auto"/>
    <w:pitch w:val="default"/>
    <w:sig w:usb0="00000001" w:usb1="080E0000" w:usb2="00000000" w:usb3="00000000" w:csb0="00040000" w:csb1="00000000"/>
    <w:embedRegular r:id="rId4" w:fontKey="{7EBC67B2-7DD4-412F-99CE-017F8DFC9A17}"/>
  </w:font>
  <w:font w:name="方正小标宋简体">
    <w:panose1 w:val="03000509000000000000"/>
    <w:charset w:val="86"/>
    <w:family w:val="auto"/>
    <w:pitch w:val="default"/>
    <w:sig w:usb0="00000001" w:usb1="080E0000" w:usb2="00000000" w:usb3="00000000" w:csb0="00040000" w:csb1="00000000"/>
    <w:embedRegular r:id="rId5" w:fontKey="{E55D82EF-C233-4D71-BB48-8CF05216434C}"/>
  </w:font>
  <w:font w:name="微软雅黑">
    <w:panose1 w:val="020B0503020204020204"/>
    <w:charset w:val="86"/>
    <w:family w:val="swiss"/>
    <w:pitch w:val="default"/>
    <w:sig w:usb0="80000287" w:usb1="2ACF3C50" w:usb2="00000016" w:usb3="00000000" w:csb0="0004001F" w:csb1="00000000"/>
    <w:embedRegular r:id="rId6" w:fontKey="{EA923BB8-CC78-4BB3-B390-42B85F7A7EB0}"/>
  </w:font>
  <w:font w:name="等线">
    <w:panose1 w:val="02010600030101010101"/>
    <w:charset w:val="86"/>
    <w:family w:val="auto"/>
    <w:pitch w:val="default"/>
    <w:sig w:usb0="A00002BF" w:usb1="38CF7CFA" w:usb2="00000016" w:usb3="00000000" w:csb0="0004000F" w:csb1="00000000"/>
    <w:embedRegular r:id="rId7" w:fontKey="{EC94054E-81AA-4D42-A560-6EA620FDC0F1}"/>
  </w:font>
  <w:font w:name="仿宋">
    <w:panose1 w:val="02010609060101010101"/>
    <w:charset w:val="86"/>
    <w:family w:val="auto"/>
    <w:pitch w:val="default"/>
    <w:sig w:usb0="800002BF" w:usb1="38CF7CFA" w:usb2="00000016" w:usb3="00000000" w:csb0="00040001" w:csb1="00000000"/>
    <w:embedRegular r:id="rId8" w:fontKey="{239086EA-ED2B-47CC-BDEA-2F47AC1D5AE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17</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8" w:lineRule="auto"/>
      <w:ind w:left="3835"/>
      <w:rPr>
        <w:rFonts w:ascii="等线" w:hAnsi="等线" w:eastAsia="等线" w:cs="等线"/>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22919"/>
    <w:multiLevelType w:val="singleLevel"/>
    <w:tmpl w:val="F912291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221"/>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3MjQyNDhiMTA4YjQ5MzMxMTljMmEzMThkNGFlZWYifQ=="/>
  </w:docVars>
  <w:rsids>
    <w:rsidRoot w:val="064E1D05"/>
    <w:rsid w:val="001837FD"/>
    <w:rsid w:val="064E1D05"/>
    <w:rsid w:val="0EB436B4"/>
    <w:rsid w:val="128B5879"/>
    <w:rsid w:val="12FE5FBC"/>
    <w:rsid w:val="18237BAC"/>
    <w:rsid w:val="1D665081"/>
    <w:rsid w:val="22B51337"/>
    <w:rsid w:val="22EA1A30"/>
    <w:rsid w:val="2F2525DA"/>
    <w:rsid w:val="38BF2589"/>
    <w:rsid w:val="3B2E49BC"/>
    <w:rsid w:val="3C3B1EF8"/>
    <w:rsid w:val="44505195"/>
    <w:rsid w:val="4EAB287C"/>
    <w:rsid w:val="4F954AB2"/>
    <w:rsid w:val="4FC73532"/>
    <w:rsid w:val="539E3C03"/>
    <w:rsid w:val="54851B53"/>
    <w:rsid w:val="57B36157"/>
    <w:rsid w:val="5DAE44D3"/>
    <w:rsid w:val="5F1A39ED"/>
    <w:rsid w:val="5F527AD0"/>
    <w:rsid w:val="624E1AC5"/>
    <w:rsid w:val="693B00D6"/>
    <w:rsid w:val="71A01196"/>
    <w:rsid w:val="7A515749"/>
    <w:rsid w:val="7FBF4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560" w:lineRule="exact"/>
      <w:ind w:firstLine="640"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spacing w:before="100" w:beforeAutospacing="1" w:after="120"/>
    </w:pPr>
  </w:style>
  <w:style w:type="paragraph" w:styleId="4">
    <w:name w:val="annotation text"/>
    <w:basedOn w:val="1"/>
    <w:autoRedefine/>
    <w:qFormat/>
    <w:uiPriority w:val="0"/>
    <w:pPr>
      <w:jc w:val="left"/>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autoRedefine/>
    <w:qFormat/>
    <w:uiPriority w:val="0"/>
    <w:rPr>
      <w:sz w:val="21"/>
      <w:szCs w:val="21"/>
    </w:rPr>
  </w:style>
  <w:style w:type="paragraph" w:customStyle="1" w:styleId="12">
    <w:name w:val="引用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13">
    <w:name w:val="正文文本缩进1"/>
    <w:basedOn w:val="1"/>
    <w:autoRedefine/>
    <w:qFormat/>
    <w:uiPriority w:val="0"/>
    <w:pPr>
      <w:ind w:left="720" w:hanging="720" w:hangingChars="200"/>
    </w:pPr>
    <w:rPr>
      <w:rFonts w:eastAsia="楷体_GB2312"/>
      <w:sz w:val="36"/>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2217</Words>
  <Characters>2489</Characters>
  <Lines>0</Lines>
  <Paragraphs>0</Paragraphs>
  <TotalTime>24</TotalTime>
  <ScaleCrop>false</ScaleCrop>
  <LinksUpToDate>false</LinksUpToDate>
  <CharactersWithSpaces>2650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2023-08-08T09:02:00Z</dcterms:created>
  <dc:creator>     Innocenceღ</dc:creator>
  <cp:lastModifiedBy>黑先生</cp:lastModifiedBy>
  <dcterms:modified xsi:type="dcterms:W3CDTF">2024-02-26T03:49:09Z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B87BBEED71804114A58D447C6325E6A9_11</vt:lpwstr>
  </property>
</Properties>
</file>